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1CD4" w14:textId="04F6E593" w:rsidR="00852C70" w:rsidRDefault="008D08E9">
      <w:pPr>
        <w:widowControl w:val="0"/>
        <w:autoSpaceDE w:val="0"/>
        <w:autoSpaceDN w:val="0"/>
        <w:adjustRightInd w:val="0"/>
        <w:spacing w:before="2" w:after="0" w:line="120" w:lineRule="exact"/>
        <w:rPr>
          <w:rFonts w:ascii="Times New Roman" w:hAnsi="Times New Roman"/>
          <w:sz w:val="12"/>
          <w:szCs w:val="12"/>
        </w:rPr>
      </w:pPr>
      <w:r>
        <w:rPr>
          <w:noProof/>
          <w:sz w:val="20"/>
        </w:rPr>
        <mc:AlternateContent>
          <mc:Choice Requires="wpg">
            <w:drawing>
              <wp:inline distT="0" distB="0" distL="0" distR="0" wp14:anchorId="0ED1E7AF" wp14:editId="25B1EFA8">
                <wp:extent cx="5656580" cy="988060"/>
                <wp:effectExtent l="0" t="0" r="7620" b="2540"/>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6580" cy="988060"/>
                          <a:chOff x="0" y="0"/>
                          <a:chExt cx="8908" cy="1556"/>
                        </a:xfrm>
                      </wpg:grpSpPr>
                      <wps:wsp>
                        <wps:cNvPr id="24" name="Rectangle 27"/>
                        <wps:cNvSpPr>
                          <a:spLocks/>
                        </wps:cNvSpPr>
                        <wps:spPr bwMode="auto">
                          <a:xfrm>
                            <a:off x="1272" y="9"/>
                            <a:ext cx="7636" cy="150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26"/>
                        <wps:cNvSpPr>
                          <a:spLocks/>
                        </wps:cNvSpPr>
                        <wps:spPr bwMode="auto">
                          <a:xfrm>
                            <a:off x="0" y="0"/>
                            <a:ext cx="8908" cy="1556"/>
                          </a:xfrm>
                          <a:custGeom>
                            <a:avLst/>
                            <a:gdLst>
                              <a:gd name="T0" fmla="*/ 1272 w 8908"/>
                              <a:gd name="T1" fmla="*/ 1513 h 1556"/>
                              <a:gd name="T2" fmla="*/ 0 w 8908"/>
                              <a:gd name="T3" fmla="*/ 1513 h 1556"/>
                              <a:gd name="T4" fmla="*/ 0 w 8908"/>
                              <a:gd name="T5" fmla="*/ 1556 h 1556"/>
                              <a:gd name="T6" fmla="*/ 1272 w 8908"/>
                              <a:gd name="T7" fmla="*/ 1556 h 1556"/>
                              <a:gd name="T8" fmla="*/ 1272 w 8908"/>
                              <a:gd name="T9" fmla="*/ 1513 h 1556"/>
                              <a:gd name="T10" fmla="*/ 1272 w 8908"/>
                              <a:gd name="T11" fmla="*/ 0 h 1556"/>
                              <a:gd name="T12" fmla="*/ 0 w 8908"/>
                              <a:gd name="T13" fmla="*/ 0 h 1556"/>
                              <a:gd name="T14" fmla="*/ 0 w 8908"/>
                              <a:gd name="T15" fmla="*/ 10 h 1556"/>
                              <a:gd name="T16" fmla="*/ 1272 w 8908"/>
                              <a:gd name="T17" fmla="*/ 10 h 1556"/>
                              <a:gd name="T18" fmla="*/ 1272 w 8908"/>
                              <a:gd name="T19" fmla="*/ 0 h 1556"/>
                              <a:gd name="T20" fmla="*/ 1282 w 8908"/>
                              <a:gd name="T21" fmla="*/ 0 h 1556"/>
                              <a:gd name="T22" fmla="*/ 1273 w 8908"/>
                              <a:gd name="T23" fmla="*/ 0 h 1556"/>
                              <a:gd name="T24" fmla="*/ 1273 w 8908"/>
                              <a:gd name="T25" fmla="*/ 10 h 1556"/>
                              <a:gd name="T26" fmla="*/ 1282 w 8908"/>
                              <a:gd name="T27" fmla="*/ 10 h 1556"/>
                              <a:gd name="T28" fmla="*/ 1282 w 8908"/>
                              <a:gd name="T29" fmla="*/ 0 h 1556"/>
                              <a:gd name="T30" fmla="*/ 1316 w 8908"/>
                              <a:gd name="T31" fmla="*/ 1513 h 1556"/>
                              <a:gd name="T32" fmla="*/ 1273 w 8908"/>
                              <a:gd name="T33" fmla="*/ 1513 h 1556"/>
                              <a:gd name="T34" fmla="*/ 1273 w 8908"/>
                              <a:gd name="T35" fmla="*/ 1556 h 1556"/>
                              <a:gd name="T36" fmla="*/ 1316 w 8908"/>
                              <a:gd name="T37" fmla="*/ 1556 h 1556"/>
                              <a:gd name="T38" fmla="*/ 1316 w 8908"/>
                              <a:gd name="T39" fmla="*/ 1513 h 1556"/>
                              <a:gd name="T40" fmla="*/ 8908 w 8908"/>
                              <a:gd name="T41" fmla="*/ 1513 h 1556"/>
                              <a:gd name="T42" fmla="*/ 1316 w 8908"/>
                              <a:gd name="T43" fmla="*/ 1513 h 1556"/>
                              <a:gd name="T44" fmla="*/ 1316 w 8908"/>
                              <a:gd name="T45" fmla="*/ 1556 h 1556"/>
                              <a:gd name="T46" fmla="*/ 8908 w 8908"/>
                              <a:gd name="T47" fmla="*/ 1556 h 1556"/>
                              <a:gd name="T48" fmla="*/ 8908 w 8908"/>
                              <a:gd name="T49" fmla="*/ 1513 h 1556"/>
                              <a:gd name="T50" fmla="*/ 8908 w 8908"/>
                              <a:gd name="T51" fmla="*/ 0 h 1556"/>
                              <a:gd name="T52" fmla="*/ 1282 w 8908"/>
                              <a:gd name="T53" fmla="*/ 0 h 1556"/>
                              <a:gd name="T54" fmla="*/ 1282 w 8908"/>
                              <a:gd name="T55" fmla="*/ 10 h 1556"/>
                              <a:gd name="T56" fmla="*/ 8908 w 8908"/>
                              <a:gd name="T57" fmla="*/ 10 h 1556"/>
                              <a:gd name="T58" fmla="*/ 8908 w 8908"/>
                              <a:gd name="T59" fmla="*/ 0 h 1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908" h="1556">
                                <a:moveTo>
                                  <a:pt x="1272" y="1513"/>
                                </a:moveTo>
                                <a:lnTo>
                                  <a:pt x="0" y="1513"/>
                                </a:lnTo>
                                <a:lnTo>
                                  <a:pt x="0" y="1556"/>
                                </a:lnTo>
                                <a:lnTo>
                                  <a:pt x="1272" y="1556"/>
                                </a:lnTo>
                                <a:lnTo>
                                  <a:pt x="1272" y="1513"/>
                                </a:lnTo>
                                <a:close/>
                                <a:moveTo>
                                  <a:pt x="1272" y="0"/>
                                </a:moveTo>
                                <a:lnTo>
                                  <a:pt x="0" y="0"/>
                                </a:lnTo>
                                <a:lnTo>
                                  <a:pt x="0" y="10"/>
                                </a:lnTo>
                                <a:lnTo>
                                  <a:pt x="1272" y="10"/>
                                </a:lnTo>
                                <a:lnTo>
                                  <a:pt x="1272" y="0"/>
                                </a:lnTo>
                                <a:close/>
                                <a:moveTo>
                                  <a:pt x="1282" y="0"/>
                                </a:moveTo>
                                <a:lnTo>
                                  <a:pt x="1273" y="0"/>
                                </a:lnTo>
                                <a:lnTo>
                                  <a:pt x="1273" y="10"/>
                                </a:lnTo>
                                <a:lnTo>
                                  <a:pt x="1282" y="10"/>
                                </a:lnTo>
                                <a:lnTo>
                                  <a:pt x="1282" y="0"/>
                                </a:lnTo>
                                <a:close/>
                                <a:moveTo>
                                  <a:pt x="1316" y="1513"/>
                                </a:moveTo>
                                <a:lnTo>
                                  <a:pt x="1273" y="1513"/>
                                </a:lnTo>
                                <a:lnTo>
                                  <a:pt x="1273" y="1556"/>
                                </a:lnTo>
                                <a:lnTo>
                                  <a:pt x="1316" y="1556"/>
                                </a:lnTo>
                                <a:lnTo>
                                  <a:pt x="1316" y="1513"/>
                                </a:lnTo>
                                <a:close/>
                                <a:moveTo>
                                  <a:pt x="8908" y="1513"/>
                                </a:moveTo>
                                <a:lnTo>
                                  <a:pt x="1316" y="1513"/>
                                </a:lnTo>
                                <a:lnTo>
                                  <a:pt x="1316" y="1556"/>
                                </a:lnTo>
                                <a:lnTo>
                                  <a:pt x="8908" y="1556"/>
                                </a:lnTo>
                                <a:lnTo>
                                  <a:pt x="8908" y="1513"/>
                                </a:lnTo>
                                <a:close/>
                                <a:moveTo>
                                  <a:pt x="8908" y="0"/>
                                </a:moveTo>
                                <a:lnTo>
                                  <a:pt x="1282" y="0"/>
                                </a:lnTo>
                                <a:lnTo>
                                  <a:pt x="1282" y="10"/>
                                </a:lnTo>
                                <a:lnTo>
                                  <a:pt x="8908" y="10"/>
                                </a:lnTo>
                                <a:lnTo>
                                  <a:pt x="89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5"/>
                        <wps:cNvSpPr txBox="1">
                          <a:spLocks/>
                        </wps:cNvSpPr>
                        <wps:spPr bwMode="auto">
                          <a:xfrm>
                            <a:off x="0" y="0"/>
                            <a:ext cx="8908"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F1FF2" w14:textId="77777777" w:rsidR="008D08E9" w:rsidRDefault="008D08E9" w:rsidP="008D08E9">
                              <w:pPr>
                                <w:spacing w:before="99"/>
                                <w:ind w:left="1629" w:right="361"/>
                                <w:jc w:val="center"/>
                                <w:rPr>
                                  <w:rFonts w:ascii="Arial MT"/>
                                  <w:sz w:val="16"/>
                                </w:rPr>
                              </w:pPr>
                              <w:r>
                                <w:rPr>
                                  <w:rFonts w:ascii="Arial MT"/>
                                  <w:sz w:val="16"/>
                                </w:rPr>
                                <w:t>IJATB</w:t>
                              </w:r>
                              <w:r>
                                <w:rPr>
                                  <w:rFonts w:ascii="Arial MT"/>
                                  <w:spacing w:val="-4"/>
                                  <w:sz w:val="16"/>
                                </w:rPr>
                                <w:t xml:space="preserve"> </w:t>
                              </w:r>
                              <w:r>
                                <w:rPr>
                                  <w:rFonts w:ascii="Arial MT"/>
                                  <w:sz w:val="16"/>
                                </w:rPr>
                                <w:t>Vol.</w:t>
                              </w:r>
                              <w:r>
                                <w:rPr>
                                  <w:rFonts w:ascii="Arial MT"/>
                                  <w:spacing w:val="1"/>
                                  <w:sz w:val="16"/>
                                </w:rPr>
                                <w:t xml:space="preserve"> </w:t>
                              </w:r>
                              <w:r>
                                <w:rPr>
                                  <w:rFonts w:ascii="Arial MT"/>
                                  <w:sz w:val="16"/>
                                </w:rPr>
                                <w:t>4,</w:t>
                              </w:r>
                              <w:r>
                                <w:rPr>
                                  <w:rFonts w:ascii="Arial MT"/>
                                  <w:spacing w:val="1"/>
                                  <w:sz w:val="16"/>
                                </w:rPr>
                                <w:t xml:space="preserve"> </w:t>
                              </w:r>
                              <w:r>
                                <w:rPr>
                                  <w:rFonts w:ascii="Arial MT"/>
                                  <w:sz w:val="16"/>
                                </w:rPr>
                                <w:t>No.</w:t>
                              </w:r>
                              <w:r>
                                <w:rPr>
                                  <w:rFonts w:ascii="Arial MT"/>
                                  <w:spacing w:val="-4"/>
                                  <w:sz w:val="16"/>
                                </w:rPr>
                                <w:t xml:space="preserve"> </w:t>
                              </w:r>
                              <w:r>
                                <w:rPr>
                                  <w:rFonts w:ascii="Arial MT"/>
                                  <w:sz w:val="16"/>
                                </w:rPr>
                                <w:t>2,</w:t>
                              </w:r>
                              <w:r>
                                <w:rPr>
                                  <w:rFonts w:ascii="Arial MT"/>
                                  <w:spacing w:val="-4"/>
                                  <w:sz w:val="16"/>
                                </w:rPr>
                                <w:t xml:space="preserve"> </w:t>
                              </w:r>
                              <w:r>
                                <w:rPr>
                                  <w:rFonts w:ascii="Arial MT"/>
                                  <w:sz w:val="16"/>
                                </w:rPr>
                                <w:t>2022</w:t>
                              </w:r>
                            </w:p>
                            <w:p w14:paraId="18B943FC" w14:textId="77777777" w:rsidR="008D08E9" w:rsidRDefault="008D08E9" w:rsidP="008D08E9">
                              <w:pPr>
                                <w:rPr>
                                  <w:rFonts w:ascii="Arial MT"/>
                                  <w:sz w:val="21"/>
                                </w:rPr>
                              </w:pPr>
                            </w:p>
                            <w:p w14:paraId="1671CF73" w14:textId="77777777" w:rsidR="008D08E9" w:rsidRDefault="008D08E9" w:rsidP="008D08E9">
                              <w:pPr>
                                <w:ind w:left="1629" w:right="363"/>
                                <w:jc w:val="center"/>
                                <w:rPr>
                                  <w:b/>
                                  <w:sz w:val="26"/>
                                </w:rPr>
                              </w:pPr>
                              <w:r>
                                <w:rPr>
                                  <w:b/>
                                  <w:w w:val="105"/>
                                  <w:sz w:val="26"/>
                                </w:rPr>
                                <w:t>International</w:t>
                              </w:r>
                              <w:r>
                                <w:rPr>
                                  <w:b/>
                                  <w:spacing w:val="23"/>
                                  <w:w w:val="105"/>
                                  <w:sz w:val="26"/>
                                </w:rPr>
                                <w:t xml:space="preserve"> </w:t>
                              </w:r>
                              <w:r>
                                <w:rPr>
                                  <w:b/>
                                  <w:w w:val="105"/>
                                  <w:sz w:val="26"/>
                                </w:rPr>
                                <w:t>Journal</w:t>
                              </w:r>
                              <w:r>
                                <w:rPr>
                                  <w:b/>
                                  <w:spacing w:val="23"/>
                                  <w:w w:val="105"/>
                                  <w:sz w:val="26"/>
                                </w:rPr>
                                <w:t xml:space="preserve"> </w:t>
                              </w:r>
                              <w:r>
                                <w:rPr>
                                  <w:b/>
                                  <w:w w:val="105"/>
                                  <w:sz w:val="26"/>
                                </w:rPr>
                                <w:t>of</w:t>
                              </w:r>
                              <w:r>
                                <w:rPr>
                                  <w:b/>
                                  <w:spacing w:val="35"/>
                                  <w:w w:val="105"/>
                                  <w:sz w:val="26"/>
                                </w:rPr>
                                <w:t xml:space="preserve"> </w:t>
                              </w:r>
                              <w:r>
                                <w:rPr>
                                  <w:b/>
                                  <w:w w:val="105"/>
                                  <w:sz w:val="26"/>
                                </w:rPr>
                                <w:t>Accounting,</w:t>
                              </w:r>
                              <w:r>
                                <w:rPr>
                                  <w:b/>
                                  <w:spacing w:val="27"/>
                                  <w:w w:val="105"/>
                                  <w:sz w:val="26"/>
                                </w:rPr>
                                <w:t xml:space="preserve"> </w:t>
                              </w:r>
                              <w:r>
                                <w:rPr>
                                  <w:b/>
                                  <w:w w:val="105"/>
                                  <w:sz w:val="26"/>
                                </w:rPr>
                                <w:t>Taxation,</w:t>
                              </w:r>
                              <w:r>
                                <w:rPr>
                                  <w:b/>
                                  <w:spacing w:val="22"/>
                                  <w:w w:val="105"/>
                                  <w:sz w:val="26"/>
                                </w:rPr>
                                <w:t xml:space="preserve"> </w:t>
                              </w:r>
                              <w:r>
                                <w:rPr>
                                  <w:b/>
                                  <w:w w:val="105"/>
                                  <w:sz w:val="26"/>
                                </w:rPr>
                                <w:t>and</w:t>
                              </w:r>
                              <w:r>
                                <w:rPr>
                                  <w:b/>
                                  <w:spacing w:val="23"/>
                                  <w:w w:val="105"/>
                                  <w:sz w:val="26"/>
                                </w:rPr>
                                <w:t xml:space="preserve"> </w:t>
                              </w:r>
                              <w:r>
                                <w:rPr>
                                  <w:b/>
                                  <w:w w:val="105"/>
                                  <w:sz w:val="26"/>
                                </w:rPr>
                                <w:t>Business</w:t>
                              </w:r>
                            </w:p>
                            <w:p w14:paraId="27302B65" w14:textId="77777777" w:rsidR="008D08E9" w:rsidRDefault="008D08E9" w:rsidP="008D08E9">
                              <w:pPr>
                                <w:spacing w:before="218"/>
                                <w:ind w:left="1629" w:right="359"/>
                                <w:jc w:val="center"/>
                                <w:rPr>
                                  <w:rFonts w:ascii="Arial MT"/>
                                  <w:sz w:val="18"/>
                                </w:rPr>
                              </w:pPr>
                              <w:r>
                                <w:rPr>
                                  <w:rFonts w:ascii="Arial MT"/>
                                  <w:sz w:val="18"/>
                                </w:rPr>
                                <w:t>https://journal.unsika.ac.id/index.php/IJATB</w:t>
                              </w:r>
                            </w:p>
                          </w:txbxContent>
                        </wps:txbx>
                        <wps:bodyPr rot="0" vert="horz" wrap="square" lIns="0" tIns="0" rIns="0" bIns="0" anchor="t" anchorCtr="0" upright="1">
                          <a:noAutofit/>
                        </wps:bodyPr>
                      </wps:wsp>
                    </wpg:wgp>
                  </a:graphicData>
                </a:graphic>
              </wp:inline>
            </w:drawing>
          </mc:Choice>
          <mc:Fallback>
            <w:pict>
              <v:group w14:anchorId="0ED1E7AF" id="Group 24" o:spid="_x0000_s1026" style="width:445.4pt;height:77.8pt;mso-position-horizontal-relative:char;mso-position-vertical-relative:line" coordsize="8908,15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">
                <v:rect id="Rectangle 27" o:spid="_x0000_s1027" style="position:absolute;left:1272;top:9;width:7636;height:1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" fillcolor="#f1f1f1" stroked="f">
                  <v:path arrowok="t"/>
                </v:rect>
                <v:shape id="AutoShape 26" o:spid="_x0000_s1028" style="position:absolute;width:8908;height:1556;visibility:visible;mso-wrap-style:square;v-text-anchor:top" coordsize="8908,15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" path="m1272,1513l,1513r,43l1272,1556r,-43xm1272,l,,,10r1272,l1272,xm1282,r-9,l1273,10r9,l1282,xm1316,1513r-43,l1273,1556r43,l1316,1513xm8908,1513r-7592,l1316,1556r7592,l8908,1513xm8908,l1282,r,10l8908,10r,-10xe" fillcolor="black" stroked="f">
                  <v:path arrowok="t" o:connecttype="custom" o:connectlocs="1272,1513;0,1513;0,1556;1272,1556;1272,1513;1272,0;0,0;0,10;1272,10;1272,0;1282,0;1273,0;1273,10;1282,10;1282,0;1316,1513;1273,1513;1273,1556;1316,1556;1316,1513;8908,1513;1316,1513;1316,1556;8908,1556;8908,1513;8908,0;1282,0;1282,10;8908,10;8908,0" o:connectangles="0,0,0,0,0,0,0,0,0,0,0,0,0,0,0,0,0,0,0,0,0,0,0,0,0,0,0,0,0,0"/>
                </v:shape>
                <v:shapetype id="_x0000_t202" coordsize="21600,21600" o:spt="202" path="m,l,21600r21600,l21600,xe">
                  <v:stroke joinstyle="miter"/>
                  <v:path gradientshapeok="t" o:connecttype="rect"/>
                </v:shapetype>
                <v:shape id="Text Box 25" o:spid="_x0000_s1029" type="#_x0000_t202" style="position:absolute;width:8908;height:1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" filled="f" stroked="f">
                  <v:path arrowok="t"/>
                  <v:textbox inset="0,0,0,0">
                    <w:txbxContent>
                      <w:p w14:paraId="283F1FF2" w14:textId="77777777" w:rsidR="008D08E9" w:rsidRDefault="008D08E9" w:rsidP="008D08E9">
                        <w:pPr>
                          <w:spacing w:before="99"/>
                          <w:ind w:left="1629" w:right="361"/>
                          <w:jc w:val="center"/>
                          <w:rPr>
                            <w:rFonts w:ascii="Arial MT"/>
                            <w:sz w:val="16"/>
                          </w:rPr>
                        </w:pPr>
                        <w:r>
                          <w:rPr>
                            <w:rFonts w:ascii="Arial MT"/>
                            <w:sz w:val="16"/>
                          </w:rPr>
                          <w:t>IJATB</w:t>
                        </w:r>
                        <w:r>
                          <w:rPr>
                            <w:rFonts w:ascii="Arial MT"/>
                            <w:spacing w:val="-4"/>
                            <w:sz w:val="16"/>
                          </w:rPr>
                          <w:t xml:space="preserve"> </w:t>
                        </w:r>
                        <w:r>
                          <w:rPr>
                            <w:rFonts w:ascii="Arial MT"/>
                            <w:sz w:val="16"/>
                          </w:rPr>
                          <w:t>Vol.</w:t>
                        </w:r>
                        <w:r>
                          <w:rPr>
                            <w:rFonts w:ascii="Arial MT"/>
                            <w:spacing w:val="1"/>
                            <w:sz w:val="16"/>
                          </w:rPr>
                          <w:t xml:space="preserve"> </w:t>
                        </w:r>
                        <w:r>
                          <w:rPr>
                            <w:rFonts w:ascii="Arial MT"/>
                            <w:sz w:val="16"/>
                          </w:rPr>
                          <w:t>4,</w:t>
                        </w:r>
                        <w:r>
                          <w:rPr>
                            <w:rFonts w:ascii="Arial MT"/>
                            <w:spacing w:val="1"/>
                            <w:sz w:val="16"/>
                          </w:rPr>
                          <w:t xml:space="preserve"> </w:t>
                        </w:r>
                        <w:r>
                          <w:rPr>
                            <w:rFonts w:ascii="Arial MT"/>
                            <w:sz w:val="16"/>
                          </w:rPr>
                          <w:t>No.</w:t>
                        </w:r>
                        <w:r>
                          <w:rPr>
                            <w:rFonts w:ascii="Arial MT"/>
                            <w:spacing w:val="-4"/>
                            <w:sz w:val="16"/>
                          </w:rPr>
                          <w:t xml:space="preserve"> </w:t>
                        </w:r>
                        <w:r>
                          <w:rPr>
                            <w:rFonts w:ascii="Arial MT"/>
                            <w:sz w:val="16"/>
                          </w:rPr>
                          <w:t>2,</w:t>
                        </w:r>
                        <w:r>
                          <w:rPr>
                            <w:rFonts w:ascii="Arial MT"/>
                            <w:spacing w:val="-4"/>
                            <w:sz w:val="16"/>
                          </w:rPr>
                          <w:t xml:space="preserve"> </w:t>
                        </w:r>
                        <w:r>
                          <w:rPr>
                            <w:rFonts w:ascii="Arial MT"/>
                            <w:sz w:val="16"/>
                          </w:rPr>
                          <w:t>2022</w:t>
                        </w:r>
                      </w:p>
                      <w:p w14:paraId="18B943FC" w14:textId="77777777" w:rsidR="008D08E9" w:rsidRDefault="008D08E9" w:rsidP="008D08E9">
                        <w:pPr>
                          <w:rPr>
                            <w:rFonts w:ascii="Arial MT"/>
                            <w:sz w:val="21"/>
                          </w:rPr>
                        </w:pPr>
                      </w:p>
                      <w:p w14:paraId="1671CF73" w14:textId="77777777" w:rsidR="008D08E9" w:rsidRDefault="008D08E9" w:rsidP="008D08E9">
                        <w:pPr>
                          <w:ind w:left="1629" w:right="363"/>
                          <w:jc w:val="center"/>
                          <w:rPr>
                            <w:b/>
                            <w:sz w:val="26"/>
                          </w:rPr>
                        </w:pPr>
                        <w:r>
                          <w:rPr>
                            <w:b/>
                            <w:w w:val="105"/>
                            <w:sz w:val="26"/>
                          </w:rPr>
                          <w:t>International</w:t>
                        </w:r>
                        <w:r>
                          <w:rPr>
                            <w:b/>
                            <w:spacing w:val="23"/>
                            <w:w w:val="105"/>
                            <w:sz w:val="26"/>
                          </w:rPr>
                          <w:t xml:space="preserve"> </w:t>
                        </w:r>
                        <w:r>
                          <w:rPr>
                            <w:b/>
                            <w:w w:val="105"/>
                            <w:sz w:val="26"/>
                          </w:rPr>
                          <w:t>Journal</w:t>
                        </w:r>
                        <w:r>
                          <w:rPr>
                            <w:b/>
                            <w:spacing w:val="23"/>
                            <w:w w:val="105"/>
                            <w:sz w:val="26"/>
                          </w:rPr>
                          <w:t xml:space="preserve"> </w:t>
                        </w:r>
                        <w:r>
                          <w:rPr>
                            <w:b/>
                            <w:w w:val="105"/>
                            <w:sz w:val="26"/>
                          </w:rPr>
                          <w:t>of</w:t>
                        </w:r>
                        <w:r>
                          <w:rPr>
                            <w:b/>
                            <w:spacing w:val="35"/>
                            <w:w w:val="105"/>
                            <w:sz w:val="26"/>
                          </w:rPr>
                          <w:t xml:space="preserve"> </w:t>
                        </w:r>
                        <w:r>
                          <w:rPr>
                            <w:b/>
                            <w:w w:val="105"/>
                            <w:sz w:val="26"/>
                          </w:rPr>
                          <w:t>Accounting,</w:t>
                        </w:r>
                        <w:r>
                          <w:rPr>
                            <w:b/>
                            <w:spacing w:val="27"/>
                            <w:w w:val="105"/>
                            <w:sz w:val="26"/>
                          </w:rPr>
                          <w:t xml:space="preserve"> </w:t>
                        </w:r>
                        <w:r>
                          <w:rPr>
                            <w:b/>
                            <w:w w:val="105"/>
                            <w:sz w:val="26"/>
                          </w:rPr>
                          <w:t>Taxation,</w:t>
                        </w:r>
                        <w:r>
                          <w:rPr>
                            <w:b/>
                            <w:spacing w:val="22"/>
                            <w:w w:val="105"/>
                            <w:sz w:val="26"/>
                          </w:rPr>
                          <w:t xml:space="preserve"> </w:t>
                        </w:r>
                        <w:r>
                          <w:rPr>
                            <w:b/>
                            <w:w w:val="105"/>
                            <w:sz w:val="26"/>
                          </w:rPr>
                          <w:t>and</w:t>
                        </w:r>
                        <w:r>
                          <w:rPr>
                            <w:b/>
                            <w:spacing w:val="23"/>
                            <w:w w:val="105"/>
                            <w:sz w:val="26"/>
                          </w:rPr>
                          <w:t xml:space="preserve"> </w:t>
                        </w:r>
                        <w:r>
                          <w:rPr>
                            <w:b/>
                            <w:w w:val="105"/>
                            <w:sz w:val="26"/>
                          </w:rPr>
                          <w:t>Business</w:t>
                        </w:r>
                      </w:p>
                      <w:p w14:paraId="27302B65" w14:textId="77777777" w:rsidR="008D08E9" w:rsidRDefault="008D08E9" w:rsidP="008D08E9">
                        <w:pPr>
                          <w:spacing w:before="218"/>
                          <w:ind w:left="1629" w:right="359"/>
                          <w:jc w:val="center"/>
                          <w:rPr>
                            <w:rFonts w:ascii="Arial MT"/>
                            <w:sz w:val="18"/>
                          </w:rPr>
                        </w:pPr>
                        <w:r>
                          <w:rPr>
                            <w:rFonts w:ascii="Arial MT"/>
                            <w:sz w:val="18"/>
                          </w:rPr>
                          <w:t>https://journal.unsika.ac.id/index.php/IJATB</w:t>
                        </w:r>
                      </w:p>
                    </w:txbxContent>
                  </v:textbox>
                </v:shape>
                <w10:anchorlock/>
              </v:group>
            </w:pict>
          </mc:Fallback>
        </mc:AlternateContent>
      </w:r>
    </w:p>
    <w:p w14:paraId="3409EB3A" w14:textId="77777777" w:rsidR="00852C70" w:rsidRDefault="00852C70">
      <w:pPr>
        <w:widowControl w:val="0"/>
        <w:autoSpaceDE w:val="0"/>
        <w:autoSpaceDN w:val="0"/>
        <w:adjustRightInd w:val="0"/>
        <w:spacing w:before="2" w:after="0" w:line="120" w:lineRule="exact"/>
        <w:rPr>
          <w:rFonts w:ascii="Times New Roman" w:hAnsi="Times New Roman"/>
          <w:sz w:val="12"/>
          <w:szCs w:val="12"/>
        </w:rPr>
      </w:pPr>
    </w:p>
    <w:p w14:paraId="145C95D8" w14:textId="4D6699ED" w:rsidR="00852C70" w:rsidRDefault="00B65E81">
      <w:pPr>
        <w:widowControl w:val="0"/>
        <w:autoSpaceDE w:val="0"/>
        <w:autoSpaceDN w:val="0"/>
        <w:adjustRightInd w:val="0"/>
        <w:spacing w:after="0" w:line="240" w:lineRule="auto"/>
        <w:ind w:left="668" w:right="674"/>
        <w:jc w:val="center"/>
        <w:rPr>
          <w:rFonts w:ascii="Times New Roman" w:hAnsi="Times New Roman"/>
          <w:b/>
          <w:bCs/>
          <w:sz w:val="24"/>
          <w:szCs w:val="24"/>
        </w:rPr>
      </w:pPr>
      <w:r>
        <w:rPr>
          <w:rFonts w:ascii="Times New Roman" w:hAnsi="Times New Roman"/>
          <w:b/>
          <w:bCs/>
          <w:sz w:val="24"/>
          <w:szCs w:val="24"/>
        </w:rPr>
        <w:t>THE EFECT</w:t>
      </w:r>
      <w:r w:rsidR="000A1714">
        <w:rPr>
          <w:rFonts w:ascii="Times New Roman" w:hAnsi="Times New Roman"/>
          <w:b/>
          <w:bCs/>
          <w:sz w:val="24"/>
          <w:szCs w:val="24"/>
        </w:rPr>
        <w:t xml:space="preserve"> OF ENVIRONMENTAL MANAGEMENT ACCOUNTING PRACTICES</w:t>
      </w:r>
    </w:p>
    <w:p w14:paraId="3EED2D40" w14:textId="7AC8DE66" w:rsidR="00852C70" w:rsidRPr="000B17A9" w:rsidRDefault="000A1714" w:rsidP="000B17A9">
      <w:pPr>
        <w:widowControl w:val="0"/>
        <w:autoSpaceDE w:val="0"/>
        <w:autoSpaceDN w:val="0"/>
        <w:adjustRightInd w:val="0"/>
        <w:spacing w:after="0" w:line="240" w:lineRule="auto"/>
        <w:ind w:left="668" w:right="674"/>
        <w:jc w:val="center"/>
        <w:rPr>
          <w:rFonts w:ascii="Times New Roman" w:hAnsi="Times New Roman"/>
          <w:b/>
          <w:bCs/>
          <w:sz w:val="24"/>
          <w:szCs w:val="24"/>
        </w:rPr>
      </w:pPr>
      <w:r>
        <w:rPr>
          <w:rFonts w:ascii="Times New Roman" w:hAnsi="Times New Roman"/>
          <w:b/>
          <w:bCs/>
          <w:sz w:val="24"/>
          <w:szCs w:val="24"/>
          <w:lang w:val="id-ID"/>
        </w:rPr>
        <w:t xml:space="preserve">INTERVENING </w:t>
      </w:r>
      <w:r w:rsidR="00910258">
        <w:rPr>
          <w:rFonts w:ascii="Times New Roman" w:hAnsi="Times New Roman"/>
          <w:b/>
          <w:bCs/>
          <w:sz w:val="24"/>
          <w:szCs w:val="24"/>
        </w:rPr>
        <w:t>VARIABLE</w:t>
      </w:r>
    </w:p>
    <w:p w14:paraId="2BEDC96B" w14:textId="77777777" w:rsidR="00852C70" w:rsidRDefault="00852C70">
      <w:pPr>
        <w:widowControl w:val="0"/>
        <w:autoSpaceDE w:val="0"/>
        <w:autoSpaceDN w:val="0"/>
        <w:adjustRightInd w:val="0"/>
        <w:spacing w:before="7" w:after="0" w:line="120" w:lineRule="exact"/>
        <w:rPr>
          <w:rFonts w:ascii="Times New Roman" w:hAnsi="Times New Roman"/>
          <w:sz w:val="12"/>
          <w:szCs w:val="12"/>
        </w:rPr>
      </w:pPr>
    </w:p>
    <w:p w14:paraId="5C54C731" w14:textId="77777777" w:rsidR="00852C70" w:rsidRDefault="00852C70">
      <w:pPr>
        <w:widowControl w:val="0"/>
        <w:autoSpaceDE w:val="0"/>
        <w:autoSpaceDN w:val="0"/>
        <w:adjustRightInd w:val="0"/>
        <w:spacing w:after="0" w:line="200" w:lineRule="exact"/>
        <w:rPr>
          <w:rFonts w:ascii="Times New Roman" w:hAnsi="Times New Roman"/>
          <w:sz w:val="20"/>
          <w:szCs w:val="20"/>
        </w:rPr>
      </w:pPr>
    </w:p>
    <w:p w14:paraId="3B6A7AEB" w14:textId="3835E225" w:rsidR="00852C70" w:rsidRPr="00910258" w:rsidRDefault="000A1714">
      <w:pPr>
        <w:widowControl w:val="0"/>
        <w:autoSpaceDE w:val="0"/>
        <w:autoSpaceDN w:val="0"/>
        <w:adjustRightInd w:val="0"/>
        <w:spacing w:after="0" w:line="276" w:lineRule="exact"/>
        <w:ind w:left="2566" w:right="2584"/>
        <w:jc w:val="center"/>
        <w:rPr>
          <w:rFonts w:ascii="Times New Roman" w:hAnsi="Times New Roman"/>
          <w:spacing w:val="1"/>
          <w:sz w:val="24"/>
          <w:szCs w:val="24"/>
          <w:vertAlign w:val="superscript"/>
        </w:rPr>
      </w:pPr>
      <w:r>
        <w:rPr>
          <w:rFonts w:ascii="Times New Roman" w:hAnsi="Times New Roman"/>
          <w:spacing w:val="1"/>
          <w:sz w:val="24"/>
          <w:szCs w:val="24"/>
        </w:rPr>
        <w:t xml:space="preserve">Sekar Ayu Putri Permana </w:t>
      </w:r>
      <w:r w:rsidR="00910258">
        <w:rPr>
          <w:rFonts w:ascii="Times New Roman" w:hAnsi="Times New Roman"/>
          <w:spacing w:val="1"/>
          <w:sz w:val="24"/>
          <w:szCs w:val="24"/>
          <w:vertAlign w:val="superscript"/>
        </w:rPr>
        <w:t>1</w:t>
      </w:r>
    </w:p>
    <w:p w14:paraId="7EFA5439" w14:textId="1C2AFCED" w:rsidR="00852C70" w:rsidRPr="00910258" w:rsidRDefault="000A1714">
      <w:pPr>
        <w:widowControl w:val="0"/>
        <w:autoSpaceDE w:val="0"/>
        <w:autoSpaceDN w:val="0"/>
        <w:adjustRightInd w:val="0"/>
        <w:spacing w:after="0" w:line="276" w:lineRule="exact"/>
        <w:ind w:left="2566" w:right="2584"/>
        <w:jc w:val="center"/>
        <w:rPr>
          <w:rFonts w:ascii="Times New Roman" w:hAnsi="Times New Roman"/>
          <w:sz w:val="24"/>
          <w:szCs w:val="24"/>
          <w:vertAlign w:val="superscript"/>
        </w:rPr>
      </w:pPr>
      <w:r>
        <w:rPr>
          <w:rFonts w:ascii="Times New Roman" w:hAnsi="Times New Roman"/>
          <w:sz w:val="24"/>
          <w:szCs w:val="24"/>
        </w:rPr>
        <w:t xml:space="preserve"> </w:t>
      </w:r>
      <w:r w:rsidR="00910258">
        <w:rPr>
          <w:rFonts w:ascii="Times New Roman" w:hAnsi="Times New Roman"/>
          <w:spacing w:val="1"/>
          <w:sz w:val="24"/>
          <w:szCs w:val="24"/>
        </w:rPr>
        <w:t xml:space="preserve">Khairina Nur Izzaty </w:t>
      </w:r>
      <w:r w:rsidR="00910258">
        <w:rPr>
          <w:rFonts w:ascii="Times New Roman" w:hAnsi="Times New Roman"/>
          <w:spacing w:val="1"/>
          <w:sz w:val="24"/>
          <w:szCs w:val="24"/>
          <w:vertAlign w:val="superscript"/>
        </w:rPr>
        <w:t>2</w:t>
      </w:r>
    </w:p>
    <w:p w14:paraId="647DFA27" w14:textId="77777777" w:rsidR="00852C70" w:rsidRDefault="00852C70">
      <w:pPr>
        <w:widowControl w:val="0"/>
        <w:autoSpaceDE w:val="0"/>
        <w:autoSpaceDN w:val="0"/>
        <w:adjustRightInd w:val="0"/>
        <w:spacing w:before="11" w:after="0" w:line="260" w:lineRule="exact"/>
        <w:rPr>
          <w:rFonts w:ascii="Times New Roman" w:hAnsi="Times New Roman"/>
          <w:sz w:val="26"/>
          <w:szCs w:val="26"/>
        </w:rPr>
      </w:pPr>
    </w:p>
    <w:p w14:paraId="4FF2964A" w14:textId="77777777" w:rsidR="00852C70" w:rsidRDefault="000A1714">
      <w:pPr>
        <w:widowControl w:val="0"/>
        <w:autoSpaceDE w:val="0"/>
        <w:autoSpaceDN w:val="0"/>
        <w:adjustRightInd w:val="0"/>
        <w:spacing w:after="0" w:line="240" w:lineRule="auto"/>
        <w:ind w:left="385" w:right="403"/>
        <w:jc w:val="center"/>
        <w:rPr>
          <w:rFonts w:ascii="Times New Roman" w:hAnsi="Times New Roman"/>
          <w:sz w:val="24"/>
          <w:szCs w:val="24"/>
        </w:rPr>
      </w:pPr>
      <w:r>
        <w:rPr>
          <w:rFonts w:ascii="Times New Roman" w:hAnsi="Times New Roman"/>
          <w:spacing w:val="1"/>
          <w:sz w:val="24"/>
          <w:szCs w:val="24"/>
        </w:rPr>
        <w:t xml:space="preserve">P </w:t>
      </w:r>
      <w:r>
        <w:rPr>
          <w:rFonts w:ascii="Times New Roman" w:hAnsi="Times New Roman"/>
          <w:sz w:val="24"/>
          <w:szCs w:val="24"/>
        </w:rPr>
        <w:t xml:space="preserve">r </w:t>
      </w:r>
      <w:r>
        <w:rPr>
          <w:rFonts w:ascii="Times New Roman" w:hAnsi="Times New Roman"/>
          <w:spacing w:val="-5"/>
          <w:sz w:val="24"/>
          <w:szCs w:val="24"/>
        </w:rPr>
        <w:t xml:space="preserve">o </w:t>
      </w:r>
      <w:r>
        <w:rPr>
          <w:rFonts w:ascii="Times New Roman" w:hAnsi="Times New Roman"/>
          <w:sz w:val="24"/>
          <w:szCs w:val="24"/>
        </w:rPr>
        <w:t xml:space="preserve">g r </w:t>
      </w:r>
      <w:r>
        <w:rPr>
          <w:rFonts w:ascii="Times New Roman" w:hAnsi="Times New Roman"/>
          <w:spacing w:val="-1"/>
          <w:sz w:val="24"/>
          <w:szCs w:val="24"/>
        </w:rPr>
        <w:t xml:space="preserve">a </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 xml:space="preserve">S </w:t>
      </w:r>
      <w:r>
        <w:rPr>
          <w:rFonts w:ascii="Times New Roman" w:hAnsi="Times New Roman"/>
          <w:spacing w:val="-2"/>
          <w:sz w:val="24"/>
          <w:szCs w:val="24"/>
        </w:rPr>
        <w:t xml:space="preserve">t </w:t>
      </w:r>
      <w:r>
        <w:rPr>
          <w:rFonts w:ascii="Times New Roman" w:hAnsi="Times New Roman"/>
          <w:sz w:val="24"/>
          <w:szCs w:val="24"/>
        </w:rPr>
        <w:t xml:space="preserve">u </w:t>
      </w:r>
      <w:r>
        <w:rPr>
          <w:rFonts w:ascii="Times New Roman" w:hAnsi="Times New Roman"/>
          <w:spacing w:val="5"/>
          <w:sz w:val="24"/>
          <w:szCs w:val="24"/>
        </w:rPr>
        <w:t xml:space="preserve">d </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1"/>
          <w:sz w:val="24"/>
          <w:szCs w:val="24"/>
        </w:rPr>
        <w:t>Accountancy</w:t>
      </w:r>
      <w:r>
        <w:rPr>
          <w:rFonts w:ascii="Times New Roman" w:hAnsi="Times New Roman"/>
          <w:spacing w:val="-5"/>
          <w:sz w:val="24"/>
          <w:szCs w:val="24"/>
        </w:rPr>
        <w:t>​</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2"/>
          <w:sz w:val="24"/>
          <w:szCs w:val="24"/>
        </w:rPr>
        <w:t>​</w:t>
      </w:r>
      <w:r>
        <w:rPr>
          <w:rFonts w:ascii="Times New Roman" w:hAnsi="Times New Roman"/>
          <w:spacing w:val="3"/>
          <w:sz w:val="24"/>
          <w:szCs w:val="24"/>
        </w:rPr>
        <w:t>​</w:t>
      </w:r>
      <w:r>
        <w:rPr>
          <w:rFonts w:ascii="Times New Roman" w:hAnsi="Times New Roman"/>
          <w:spacing w:val="-5"/>
          <w:sz w:val="24"/>
          <w:szCs w:val="24"/>
        </w:rPr>
        <w:t>​</w:t>
      </w:r>
      <w:r>
        <w:rPr>
          <w:rFonts w:ascii="Times New Roman" w:hAnsi="Times New Roman"/>
          <w:spacing w:val="6"/>
          <w:sz w:val="24"/>
          <w:szCs w:val="24"/>
        </w:rPr>
        <w:t>​</w:t>
      </w:r>
      <w:r>
        <w:rPr>
          <w:rFonts w:ascii="Times New Roman" w:hAnsi="Times New Roman"/>
          <w:spacing w:val="-5"/>
          <w:sz w:val="24"/>
          <w:szCs w:val="24"/>
        </w:rPr>
        <w:t>​</w:t>
      </w:r>
      <w:r>
        <w:rPr>
          <w:rFonts w:ascii="Times New Roman" w:hAnsi="Times New Roman"/>
          <w:spacing w:val="-3"/>
          <w:sz w:val="24"/>
          <w:szCs w:val="24"/>
        </w:rPr>
        <w:t xml:space="preserve"> </w:t>
      </w:r>
      <w:r>
        <w:rPr>
          <w:rFonts w:ascii="Times New Roman" w:hAnsi="Times New Roman"/>
          <w:spacing w:val="2"/>
          <w:sz w:val="24"/>
          <w:szCs w:val="24"/>
        </w:rPr>
        <w:t xml:space="preserve">S </w:t>
      </w:r>
      <w:r>
        <w:rPr>
          <w:rFonts w:ascii="Times New Roman" w:hAnsi="Times New Roman"/>
          <w:spacing w:val="3"/>
          <w:sz w:val="24"/>
          <w:szCs w:val="24"/>
        </w:rPr>
        <w:t xml:space="preserve">T </w:t>
      </w:r>
      <w:r>
        <w:rPr>
          <w:rFonts w:ascii="Times New Roman" w:hAnsi="Times New Roman"/>
          <w:spacing w:val="-5"/>
          <w:sz w:val="24"/>
          <w:szCs w:val="24"/>
        </w:rPr>
        <w:t xml:space="preserve">I </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5"/>
          <w:sz w:val="24"/>
          <w:szCs w:val="24"/>
        </w:rPr>
        <w:t xml:space="preserve">B </w:t>
      </w:r>
      <w:r>
        <w:rPr>
          <w:rFonts w:ascii="Times New Roman" w:hAnsi="Times New Roman"/>
          <w:spacing w:val="3"/>
          <w:sz w:val="24"/>
          <w:szCs w:val="24"/>
        </w:rPr>
        <w:t xml:space="preserve">a </w:t>
      </w:r>
      <w:r>
        <w:rPr>
          <w:rFonts w:ascii="Times New Roman" w:hAnsi="Times New Roman"/>
          <w:sz w:val="24"/>
          <w:szCs w:val="24"/>
        </w:rPr>
        <w:t>nk</w:t>
      </w:r>
      <w:r>
        <w:rPr>
          <w:rFonts w:ascii="Times New Roman" w:hAnsi="Times New Roman"/>
          <w:spacing w:val="-5"/>
          <w:sz w:val="24"/>
          <w:szCs w:val="24"/>
        </w:rPr>
        <w:t xml:space="preserve"> </w:t>
      </w:r>
      <w:r>
        <w:rPr>
          <w:rFonts w:ascii="Times New Roman" w:hAnsi="Times New Roman"/>
          <w:spacing w:val="5"/>
          <w:sz w:val="24"/>
          <w:szCs w:val="24"/>
        </w:rPr>
        <w:t xml:space="preserve">B </w:t>
      </w:r>
      <w:r>
        <w:rPr>
          <w:rFonts w:ascii="Times New Roman" w:hAnsi="Times New Roman"/>
          <w:spacing w:val="1"/>
          <w:sz w:val="24"/>
          <w:szCs w:val="24"/>
        </w:rPr>
        <w:t xml:space="preserve">P </w:t>
      </w:r>
      <w:r>
        <w:rPr>
          <w:rFonts w:ascii="Times New Roman" w:hAnsi="Times New Roman"/>
          <w:sz w:val="24"/>
          <w:szCs w:val="24"/>
        </w:rPr>
        <w:t xml:space="preserve">D </w:t>
      </w:r>
      <w:r>
        <w:rPr>
          <w:rFonts w:ascii="Times New Roman" w:hAnsi="Times New Roman"/>
          <w:spacing w:val="1"/>
          <w:sz w:val="24"/>
          <w:szCs w:val="24"/>
        </w:rPr>
        <w:t xml:space="preserve">J </w:t>
      </w:r>
      <w:r>
        <w:rPr>
          <w:rFonts w:ascii="Times New Roman" w:hAnsi="Times New Roman"/>
          <w:spacing w:val="-2"/>
          <w:sz w:val="24"/>
          <w:szCs w:val="24"/>
        </w:rPr>
        <w:t xml:space="preserve">ate </w:t>
      </w:r>
      <w:r>
        <w:rPr>
          <w:rFonts w:ascii="Times New Roman" w:hAnsi="Times New Roman"/>
          <w:spacing w:val="-5"/>
          <w:sz w:val="24"/>
          <w:szCs w:val="24"/>
        </w:rPr>
        <w:t xml:space="preserve">n </w:t>
      </w:r>
      <w:r>
        <w:rPr>
          <w:rFonts w:ascii="Times New Roman" w:hAnsi="Times New Roman"/>
          <w:sz w:val="24"/>
          <w:szCs w:val="24"/>
        </w:rPr>
        <w:t>g</w:t>
      </w:r>
      <w:r>
        <w:rPr>
          <w:rFonts w:ascii="Times New Roman" w:hAnsi="Times New Roman"/>
          <w:spacing w:val="2"/>
          <w:sz w:val="24"/>
          <w:szCs w:val="24"/>
        </w:rPr>
        <w:t xml:space="preserve"> </w:t>
      </w:r>
    </w:p>
    <w:p w14:paraId="287C72D8" w14:textId="564B76D5" w:rsidR="00852C70" w:rsidRDefault="00000000">
      <w:pPr>
        <w:widowControl w:val="0"/>
        <w:autoSpaceDE w:val="0"/>
        <w:autoSpaceDN w:val="0"/>
        <w:adjustRightInd w:val="0"/>
        <w:spacing w:before="4" w:after="0" w:line="240" w:lineRule="auto"/>
        <w:ind w:left="2514" w:right="2535"/>
        <w:jc w:val="center"/>
        <w:rPr>
          <w:rFonts w:ascii="Times New Roman" w:hAnsi="Times New Roman"/>
          <w:sz w:val="24"/>
          <w:szCs w:val="24"/>
        </w:rPr>
      </w:pPr>
      <w:hyperlink r:id="rId8" w:history="1">
        <w:r w:rsidR="00910258" w:rsidRPr="00C36B43">
          <w:rPr>
            <w:rStyle w:val="Hyperlink"/>
            <w:rFonts w:ascii="Times New Roman" w:hAnsi="Times New Roman"/>
            <w:spacing w:val="-1"/>
            <w:sz w:val="24"/>
            <w:szCs w:val="24"/>
          </w:rPr>
          <w:t>ed.sekarayu@gmail.com</w:t>
        </w:r>
      </w:hyperlink>
      <w:r w:rsidR="00910258">
        <w:rPr>
          <w:rFonts w:ascii="Times New Roman" w:hAnsi="Times New Roman"/>
          <w:spacing w:val="-1"/>
          <w:sz w:val="24"/>
          <w:szCs w:val="24"/>
        </w:rPr>
        <w:t xml:space="preserve"> </w:t>
      </w:r>
      <w:hyperlink r:id="rId9" w:history="1">
        <w:r w:rsidR="00910258" w:rsidRPr="00C36B43">
          <w:rPr>
            <w:rStyle w:val="Hyperlink"/>
            <w:rFonts w:ascii="Times New Roman" w:hAnsi="Times New Roman"/>
            <w:spacing w:val="-1"/>
            <w:sz w:val="24"/>
            <w:szCs w:val="24"/>
          </w:rPr>
          <w:t>izzaty33@gmail.com</w:t>
        </w:r>
      </w:hyperlink>
      <w:r w:rsidR="00910258">
        <w:rPr>
          <w:rFonts w:ascii="Times New Roman" w:hAnsi="Times New Roman"/>
          <w:spacing w:val="-1"/>
          <w:sz w:val="24"/>
          <w:szCs w:val="24"/>
        </w:rPr>
        <w:t xml:space="preserve"> </w:t>
      </w:r>
    </w:p>
    <w:p w14:paraId="494E99C4" w14:textId="77777777" w:rsidR="00852C70" w:rsidRDefault="00852C70">
      <w:pPr>
        <w:widowControl w:val="0"/>
        <w:autoSpaceDE w:val="0"/>
        <w:autoSpaceDN w:val="0"/>
        <w:adjustRightInd w:val="0"/>
        <w:spacing w:after="0" w:line="200" w:lineRule="exact"/>
        <w:rPr>
          <w:rFonts w:ascii="Times New Roman" w:hAnsi="Times New Roman"/>
          <w:b/>
          <w:bCs/>
          <w:sz w:val="24"/>
          <w:szCs w:val="24"/>
        </w:rPr>
      </w:pPr>
    </w:p>
    <w:p w14:paraId="676DD11D" w14:textId="77777777" w:rsidR="00852C70" w:rsidRDefault="00852C70">
      <w:pPr>
        <w:widowControl w:val="0"/>
        <w:autoSpaceDE w:val="0"/>
        <w:autoSpaceDN w:val="0"/>
        <w:adjustRightInd w:val="0"/>
        <w:spacing w:after="0" w:line="200" w:lineRule="exact"/>
        <w:rPr>
          <w:rFonts w:ascii="Times New Roman" w:hAnsi="Times New Roman"/>
          <w:b/>
          <w:bCs/>
          <w:sz w:val="24"/>
          <w:szCs w:val="24"/>
        </w:rPr>
      </w:pPr>
    </w:p>
    <w:p w14:paraId="7AFC285D" w14:textId="77777777" w:rsidR="00852C70" w:rsidRDefault="000A17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Abstract</w:t>
      </w:r>
    </w:p>
    <w:p w14:paraId="36A56807" w14:textId="06317B50" w:rsidR="00852C70" w:rsidRDefault="000A17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id-ID"/>
        </w:rPr>
        <w:t xml:space="preserve">The phenomenon </w:t>
      </w:r>
      <w:r>
        <w:rPr>
          <w:rFonts w:ascii="Times New Roman" w:hAnsi="Times New Roman"/>
          <w:sz w:val="24"/>
          <w:szCs w:val="24"/>
        </w:rPr>
        <w:t>of pollution due to manufacturing waste that occurs in the Tenggang River, Genuk Kaligawe area, Semarang City, indicates that improvements in environmental management accounting practices in manufacturing companies in Semarang City need to be carried out. Apart from improving environmental performance, improving environmental management accounting practices can also improve company performance. Study This test influence environmental accounting practices with the performance of manufacturing companies with information systems as an intervening variable. The target population is 501 medium and large manufacturing companies with a sample size of 100 manufacturing companies that responded to the questionnaire. Respondents are middle-level managers of manufacturing companies. The research data uses primary data and uses the SMART PLS 3.0 analysis tool for data processing. The results of this research show that: (i) environmental management accounting practices are proven to have a positive and significant effect on the performance of manufacturing companies, (ii) environmental management accounting practices are proven to have a positive and significant effect on the performance of manufacturing companies. significant influence on information systems, (iii) information systems are proven to have a positive and significant influence on the performance of manufacturing companies, (iv) Proven mediation results, namely that information systems mediate positively and significantly between environmental management accounting practices on the performance of manufacturing companies</w:t>
      </w:r>
    </w:p>
    <w:p w14:paraId="0294B248" w14:textId="77777777" w:rsidR="00852C70" w:rsidRDefault="000A1714">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Key words: environmental management accounting practices, manufacturing company performance, information systems, manufacturing companies</w:t>
      </w:r>
    </w:p>
    <w:p w14:paraId="1D88308D" w14:textId="77777777" w:rsidR="00852C70" w:rsidRDefault="000A17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Abstract</w:t>
      </w:r>
    </w:p>
    <w:p w14:paraId="0CBB5424" w14:textId="3A205D43" w:rsidR="00852C70" w:rsidRDefault="000A1714">
      <w:pPr>
        <w:widowControl w:val="0"/>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 xml:space="preserve">The phenomenon of pollution due to manufacturing waste occurs in the Tenggang river, Genuk Kaligawe, Semarang indicates that an increase in environmental management accounting practices in manufacturing companies in Semarang needs to be done. Besides being able to improve environmental performance, improving environmental management accounting practices can also improve company performance. This study examines the effect of environmental accounting practices on the performance of manufacturing companies with information systems as an intervening variable. The population is 501 medium and large manufacturing companies with a sample size of 100 manufacturing companies that responded to the questionnaire. Respondents are middle-level managers of manufacturing companies. The research data uses primary data and SMART PLS 3.0 analysis tool for data processing. The results of this study indicate that: (i) environmental management accounting practices have been shown to have a positive and significant effect on the performance of manufacturing companies, (ii) environmental management accounting practices have positive and significant impacts. Significant effect on information systems, (iii) information systems proved to have a positive and significant effect on the performance of manufacturing companies, (iv) the results </w:t>
      </w:r>
      <w:r>
        <w:rPr>
          <w:rFonts w:ascii="Times New Roman" w:hAnsi="Times New Roman"/>
          <w:bCs/>
          <w:i/>
          <w:sz w:val="24"/>
          <w:szCs w:val="24"/>
        </w:rPr>
        <w:lastRenderedPageBreak/>
        <w:t>of information system as mediating variable mediate positively and significantly between environmental management accounting practices on the performance of manufacturing companies.</w:t>
      </w:r>
    </w:p>
    <w:p w14:paraId="09979511" w14:textId="77777777" w:rsidR="00852C70" w:rsidRDefault="000A1714">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Keyword: environmental management accounting pratices, performance of manufacturing companies, information system, manufacturing companies</w:t>
      </w:r>
    </w:p>
    <w:p w14:paraId="173E5231" w14:textId="77777777" w:rsidR="00852C70" w:rsidRDefault="00852C70">
      <w:pPr>
        <w:widowControl w:val="0"/>
        <w:autoSpaceDE w:val="0"/>
        <w:autoSpaceDN w:val="0"/>
        <w:adjustRightInd w:val="0"/>
        <w:spacing w:after="0" w:line="240" w:lineRule="auto"/>
        <w:jc w:val="both"/>
        <w:rPr>
          <w:rFonts w:ascii="Times New Roman" w:hAnsi="Times New Roman"/>
          <w:b/>
          <w:bCs/>
          <w:sz w:val="24"/>
          <w:szCs w:val="24"/>
        </w:rPr>
      </w:pPr>
    </w:p>
    <w:p w14:paraId="4CE3F14D" w14:textId="6BE4197D" w:rsidR="00852C70" w:rsidRDefault="000A1714">
      <w:pPr>
        <w:widowControl w:val="0"/>
        <w:autoSpaceDE w:val="0"/>
        <w:autoSpaceDN w:val="0"/>
        <w:adjustRightInd w:val="0"/>
        <w:spacing w:after="0" w:line="240" w:lineRule="auto"/>
        <w:ind w:left="101" w:right="6184"/>
        <w:jc w:val="both"/>
        <w:rPr>
          <w:rFonts w:ascii="Times New Roman" w:hAnsi="Times New Roman"/>
          <w:sz w:val="24"/>
          <w:szCs w:val="24"/>
        </w:rPr>
      </w:pPr>
      <w:r>
        <w:rPr>
          <w:rFonts w:ascii="Times New Roman" w:hAnsi="Times New Roman"/>
          <w:b/>
          <w:bCs/>
          <w:sz w:val="24"/>
          <w:szCs w:val="24"/>
        </w:rPr>
        <w:t xml:space="preserve">1.   </w:t>
      </w:r>
      <w:r w:rsidR="00B65E81">
        <w:rPr>
          <w:rFonts w:ascii="Times New Roman" w:hAnsi="Times New Roman"/>
          <w:b/>
          <w:bCs/>
          <w:spacing w:val="-2"/>
          <w:sz w:val="24"/>
          <w:szCs w:val="24"/>
        </w:rPr>
        <w:t>INTRODUCTION</w:t>
      </w:r>
    </w:p>
    <w:p w14:paraId="5FACE618" w14:textId="77777777" w:rsidR="00852C70" w:rsidRDefault="000A1714">
      <w:pPr>
        <w:widowControl w:val="0"/>
        <w:autoSpaceDE w:val="0"/>
        <w:autoSpaceDN w:val="0"/>
        <w:adjustRightInd w:val="0"/>
        <w:spacing w:before="4" w:after="0" w:line="240" w:lineRule="auto"/>
        <w:ind w:left="101" w:right="6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The phenomenon of </w:t>
      </w:r>
      <w:r>
        <w:rPr>
          <w:rFonts w:ascii="Times New Roman" w:hAnsi="Times New Roman"/>
          <w:sz w:val="24"/>
          <w:szCs w:val="24"/>
        </w:rPr>
        <w:t xml:space="preserve">environmental damage </w:t>
      </w:r>
      <w:r>
        <w:rPr>
          <w:rFonts w:ascii="Times New Roman" w:hAnsi="Times New Roman"/>
          <w:sz w:val="24"/>
          <w:szCs w:val="24"/>
          <w:lang w:val="id-ID"/>
        </w:rPr>
        <w:t xml:space="preserve">caused by the manufacturing sector </w:t>
      </w:r>
      <w:r>
        <w:rPr>
          <w:rFonts w:ascii="Times New Roman" w:hAnsi="Times New Roman"/>
          <w:sz w:val="24"/>
          <w:szCs w:val="24"/>
        </w:rPr>
        <w:t xml:space="preserve">is a problem </w:t>
      </w:r>
      <w:r>
        <w:rPr>
          <w:rFonts w:ascii="Times New Roman" w:hAnsi="Times New Roman"/>
          <w:sz w:val="24"/>
          <w:szCs w:val="24"/>
          <w:lang w:val="id-ID"/>
        </w:rPr>
        <w:t xml:space="preserve">that cannot </w:t>
      </w:r>
      <w:r>
        <w:rPr>
          <w:rFonts w:ascii="Times New Roman" w:hAnsi="Times New Roman"/>
          <w:sz w:val="24"/>
          <w:szCs w:val="24"/>
        </w:rPr>
        <w:t xml:space="preserve">be tolerated again. </w:t>
      </w:r>
      <w:r>
        <w:rPr>
          <w:rFonts w:ascii="Times New Roman" w:hAnsi="Times New Roman"/>
          <w:sz w:val="24"/>
          <w:szCs w:val="24"/>
          <w:lang w:val="id-ID"/>
        </w:rPr>
        <w:t xml:space="preserve">If left unchecked, various detrimental impacts such as global warming, natural disasters and ecosystem imbalances will emerge which can affect the sustainability of life in the future. Increasingly widespread </w:t>
      </w:r>
      <w:r>
        <w:rPr>
          <w:rFonts w:ascii="Times New Roman" w:hAnsi="Times New Roman"/>
          <w:sz w:val="24"/>
          <w:szCs w:val="24"/>
        </w:rPr>
        <w:t xml:space="preserve">environmental issues have made many people start to pay attention to whether the role played </w:t>
      </w:r>
      <w:r>
        <w:rPr>
          <w:rFonts w:ascii="Times New Roman" w:hAnsi="Times New Roman"/>
          <w:sz w:val="24"/>
          <w:szCs w:val="24"/>
          <w:lang w:val="id-ID"/>
        </w:rPr>
        <w:t xml:space="preserve">by manufacturing companies </w:t>
      </w:r>
      <w:r>
        <w:rPr>
          <w:rFonts w:ascii="Times New Roman" w:hAnsi="Times New Roman"/>
          <w:sz w:val="24"/>
          <w:szCs w:val="24"/>
        </w:rPr>
        <w:t>has a dangerous impact on the surrounding environment, thereby encouraging environmental damage.</w:t>
      </w:r>
    </w:p>
    <w:p w14:paraId="07041FBB" w14:textId="77777777" w:rsidR="00852C70" w:rsidRDefault="000A1714">
      <w:pPr>
        <w:widowControl w:val="0"/>
        <w:autoSpaceDE w:val="0"/>
        <w:autoSpaceDN w:val="0"/>
        <w:adjustRightInd w:val="0"/>
        <w:spacing w:before="4" w:after="0" w:line="240" w:lineRule="auto"/>
        <w:ind w:left="101" w:right="64" w:firstLine="619"/>
        <w:jc w:val="both"/>
        <w:rPr>
          <w:rFonts w:ascii="Times New Roman" w:hAnsi="Times New Roman"/>
          <w:noProof/>
          <w:sz w:val="24"/>
          <w:szCs w:val="24"/>
          <w:lang w:val="id-ID"/>
        </w:rPr>
      </w:pPr>
      <w:r>
        <w:rPr>
          <w:rFonts w:ascii="Times New Roman" w:hAnsi="Times New Roman"/>
          <w:i/>
          <w:sz w:val="24"/>
          <w:szCs w:val="24"/>
          <w:lang w:val="id-ID"/>
        </w:rPr>
        <w:t xml:space="preserve">Environmental </w:t>
      </w:r>
      <w:r>
        <w:rPr>
          <w:rFonts w:ascii="Times New Roman" w:hAnsi="Times New Roman"/>
          <w:sz w:val="24"/>
          <w:szCs w:val="24"/>
          <w:lang w:val="id-ID"/>
        </w:rPr>
        <w:t xml:space="preserve">management accounting (EMA) is applied as a complement to conventional accounting in providing information related to company environmental management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2019)","manualFormatting":"(Fuzi, et al., 2019)","plainTextFormattedCitation":"(Mohd Fuzi et al., 2019)","previouslyFormattedCitation":"(Mohd Fuzi et al., 2019)"},"properties":{"noteIndex":0},"schema":"https://github.com/citation-style-language/schema/raw/master/csl-citation.json"}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(Fuzi, et al., 2019) </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{"citationItems":[{"id":"ITEM-1","itemData":{"DOI":"10.1016/j.jclepro.2012.10.007","ISSN":"09596526","abstract":"Environmental management accounting (EMA) has received increasing interest in recent years and has been promoted as a means by which the business community can more easily manage its environmental and associated economic performance. Yet despite increasing interest, theoretically informed projects concerning the current state of EMA development remain scarce. The research presented here aimed to extend current knowledge by investigating whether organisational context could be used to develop a greater understanding of EMA use by Australian organisations. Drawing on contingency theory, a research framework was developed that sought to identify the circumstances under which organisations were more likely to engage with EMA activities, both now and in the future. In order to test this framework a web-based survey of Australian accountants in business was conducted. The data suggested present and future EMA use was associated with environmental strategy, organisational size and environmentally-sensitive industries. Contrary to expectation organisational structure was not found to be associated with accountants' perceptions of EMA use in their organisations. These findings support the potential of contingency-based research to further current knowledge and understanding of the reasons behind EMA development. © 2012 Elsevier Ltd. All rights reserved.","author":[{"dropping-particle":"","family":"Christ","given":"Katherine L.","non-dropping-particle":"","parse-names":false,"suffix":""},{"dropping-particle":"","family":"Burritt","given":"Roger L.","non-dropping-particle":"","parse-names":false,"suffix":""}],"container-title":"Journal of Cleaner Production","id":"ITEM-1","issued":{"date-parts":[["2013"]]},"title":"Environmental management accounting: The significance of contingent variables for adoption","type":"article-journal"},"uris":["http://www.mendeley.com/documents/?uuid=f211fc76-83f7-4445-b7b3-4a25e3f19e2c"]}],"mendeley":{"formattedCitation":"(Christ &amp; Burritt, 2013)","manualFormatting":"Christ &amp; Burritt, (2013)","plainTextFormattedCitation":"(Christ &amp; Burritt, 2013)","previouslyFormattedCitation":"(Christ &amp; Burritt,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Christ &amp; Burritt, </w:t>
      </w:r>
      <w:r>
        <w:rPr>
          <w:rFonts w:ascii="Times New Roman" w:hAnsi="Times New Roman"/>
          <w:noProof/>
          <w:sz w:val="24"/>
          <w:szCs w:val="24"/>
          <w:lang w:val="id-ID"/>
        </w:rPr>
        <w:t xml:space="preserve">( </w:t>
      </w:r>
      <w:r>
        <w:rPr>
          <w:rFonts w:ascii="Times New Roman" w:hAnsi="Times New Roman"/>
          <w:noProof/>
          <w:sz w:val="24"/>
          <w:szCs w:val="24"/>
        </w:rPr>
        <w:t xml:space="preserve">2013) </w:t>
      </w:r>
      <w:r>
        <w:rPr>
          <w:rFonts w:ascii="Times New Roman" w:hAnsi="Times New Roman"/>
          <w:sz w:val="24"/>
          <w:szCs w:val="24"/>
        </w:rPr>
        <w:fldChar w:fldCharType="end"/>
      </w:r>
      <w:r>
        <w:rPr>
          <w:rFonts w:ascii="Times New Roman" w:hAnsi="Times New Roman"/>
          <w:sz w:val="24"/>
          <w:szCs w:val="24"/>
        </w:rPr>
        <w:t xml:space="preserve">stated that environmental problems and environmental accounting issues began to require the role of accounting practitioners and accountants since the 1980s. Adapting to the increasing level of environmental damage accompanied by increased public awareness to reduce the impact of environmental damage, the practice of environmental management accounting </w:t>
      </w:r>
      <w:r>
        <w:rPr>
          <w:rFonts w:ascii="Times New Roman" w:hAnsi="Times New Roman"/>
          <w:sz w:val="24"/>
          <w:szCs w:val="24"/>
          <w:lang w:val="id-ID"/>
        </w:rPr>
        <w:t xml:space="preserve">practice </w:t>
      </w:r>
      <w:r>
        <w:rPr>
          <w:rFonts w:ascii="Times New Roman" w:hAnsi="Times New Roman"/>
          <w:i/>
          <w:sz w:val="24"/>
          <w:szCs w:val="24"/>
          <w:lang w:val="id-ID"/>
        </w:rPr>
        <w:t xml:space="preserve">( </w:t>
      </w:r>
      <w:r>
        <w:rPr>
          <w:rFonts w:ascii="Times New Roman" w:hAnsi="Times New Roman"/>
          <w:sz w:val="24"/>
          <w:szCs w:val="24"/>
          <w:lang w:val="id-ID"/>
        </w:rPr>
        <w:t xml:space="preserve">EMAP) </w:t>
      </w:r>
      <w:r>
        <w:rPr>
          <w:rFonts w:ascii="Times New Roman" w:hAnsi="Times New Roman"/>
          <w:sz w:val="24"/>
          <w:szCs w:val="24"/>
        </w:rPr>
        <w:t>is always developing and continues to be a relevant topic today.</w:t>
      </w:r>
    </w:p>
    <w:p w14:paraId="444209D2" w14:textId="77777777" w:rsidR="00852C70" w:rsidRDefault="000A1714">
      <w:pPr>
        <w:widowControl w:val="0"/>
        <w:autoSpaceDE w:val="0"/>
        <w:autoSpaceDN w:val="0"/>
        <w:adjustRightInd w:val="0"/>
        <w:spacing w:before="4" w:after="0" w:line="240" w:lineRule="auto"/>
        <w:ind w:left="101" w:right="64" w:firstLine="619"/>
        <w:jc w:val="both"/>
        <w:rPr>
          <w:rFonts w:ascii="Times New Roman" w:hAnsi="Times New Roman"/>
          <w:sz w:val="24"/>
          <w:szCs w:val="24"/>
          <w:highlight w:val="yellow"/>
        </w:rPr>
      </w:pPr>
      <w:r>
        <w:rPr>
          <w:rFonts w:ascii="Times New Roman" w:hAnsi="Times New Roman"/>
          <w:sz w:val="24"/>
          <w:szCs w:val="24"/>
          <w:lang w:val="id-ID"/>
        </w:rPr>
        <w:t xml:space="preserve">Problems related to environmental damage caused by industrial activities are often found in Indonesia. A real example of environmental damage in Indonesia is the pollution that occurred in </w:t>
      </w:r>
      <w:r>
        <w:rPr>
          <w:rFonts w:ascii="Times New Roman" w:hAnsi="Times New Roman"/>
          <w:sz w:val="24"/>
          <w:szCs w:val="24"/>
        </w:rPr>
        <w:t xml:space="preserve">the city of </w:t>
      </w:r>
      <w:r>
        <w:rPr>
          <w:rFonts w:ascii="Times New Roman" w:hAnsi="Times New Roman"/>
          <w:sz w:val="24"/>
          <w:szCs w:val="24"/>
          <w:lang w:val="id-ID"/>
        </w:rPr>
        <w:t xml:space="preserve">Semarang. </w:t>
      </w:r>
      <w:r>
        <w:rPr>
          <w:rFonts w:ascii="Times New Roman" w:hAnsi="Times New Roman"/>
          <w:sz w:val="24"/>
          <w:szCs w:val="24"/>
        </w:rPr>
        <w:t xml:space="preserve">A survey conducted by the Central Java Province Central Statistics Agency in 2020 stated that Semarang City is the city that has the most medium and large manufacturing companies in Central Java </w:t>
      </w:r>
      <w:r>
        <w:rPr>
          <w:rFonts w:ascii="Times New Roman" w:hAnsi="Times New Roman"/>
          <w:sz w:val="24"/>
          <w:szCs w:val="24"/>
          <w:lang w:val="id-ID"/>
        </w:rPr>
        <w:t xml:space="preserve">. </w:t>
      </w:r>
      <w:r>
        <w:rPr>
          <w:rFonts w:ascii="Times New Roman" w:hAnsi="Times New Roman"/>
          <w:sz w:val="24"/>
          <w:szCs w:val="24"/>
        </w:rPr>
        <w:t xml:space="preserve">Quoted from the humas.jatengprov.go.id page, there are indications of environmental pollution in the Tenggang river, Genuk Kaligawe area, Semarang City. The river emits a lot of foam and smells bad. These indications are clear that this is waste originating from the manufacturing industry from the environment around the river. </w:t>
      </w:r>
      <w:r>
        <w:rPr>
          <w:rFonts w:ascii="Times New Roman" w:hAnsi="Times New Roman"/>
          <w:sz w:val="24"/>
          <w:szCs w:val="24"/>
        </w:rPr>
        <w:fldChar w:fldCharType="begin"/>
      </w:r>
      <w:r>
        <w:rPr>
          <w:rFonts w:ascii="Times New Roman" w:hAnsi="Times New Roman"/>
          <w:sz w:val="24"/>
          <w:szCs w:val="24"/>
        </w:rPr>
        <w:instrText>ADDIN CSL_CITATION {"citationItems":[{"id":"ITEM-1","itemData":{"DOI":"10.1108/BPMJ-06-2020-0264","ISSN":"14637154","abstract":"Purpose: This study aims to determine (1) the effect of environmental management accounting on organizational performance and (2) the mediating effect of process innovation on the relationship between environmental management accounting and organizational performance. Design/methodology/approach: This research uses survey methods designed for management accountants of large manufacturing companies in Indonesia. Data from 123 respondents were analyzed using the WarpPLS. Findings: The implementation of environmental management accounting exerted a positive effect on organizational performance. It is evident that the implementation of environmental management accounting encourages companies to innovate processes which will improve how well the organization performs. Research limitations/implications: These findings still contained several limitations such as data were only collected from one province in Indonesia, and so the findings might not be generalizable to other provinces in Indonesia. Also, the number of variables studied only involved three. The study only focused on certain dimensions of environmental management accounting without considering other dimensions in-depth. Practical implications: These findings extend the literature on environmental management accounting and demonstrate, from a practical perspective, environmental management accounting (EMA), which prioritizes the environment, will encourage companies to innovate their processes so that they are more environmentally friendly; EMA recognizes the important role of accountants in managing environmental issues. Originality/value: This study documents the importance of environmental management accounting to assist companies in getting accurate information on environmental issues and environmental costs.","author":[{"dropping-particle":"","family":"Sari","given":"Ria Nelly","non-dropping-particle":"","parse-names":false,"suffix":""},{"dropping-particle":"","family":"Pratadina","given":"Aura","non-dropping-particle":"","parse-names":false,"suffix":""},{"dropping-particle":"","family":"Anugerah","given":"Rita","non-dropping-particle":"","parse-names":false,"suffix":""},{"dropping-particle":"","family":"Kamaliah","given":"Kamaliah","non-dropping-particle":"","parse-names":false,"suffix":""},{"dropping-particle":"","family":"Sanusi","given":"Zuraidah Mohd","non-dropping-particle":"","parse-names":false,"suffix":""}],"container-title":"Business Process Management Journal","id":"ITEM-1","issued":{"date-parts":[["2020"]]},"title":"Effect of environmental management accounting practices on organizational performance: role of process innovation as a mediating variable","type":"article-journal"},"uris":["http://www.mendeley.com/documents/?uuid=b08c9cc0-e22c-4cf5-8519-c9532beb2c79"]}],"mendeley":{"formattedCitation":"(Sari et al., 2020)","manualFormatting":"Sari et al., (2020)","plainTextFormattedCitation":"(Sari et al., 2020)","previouslyFormattedCitation":"(Sari et al.,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Sari et al., (2020) </w:t>
      </w:r>
      <w:r>
        <w:rPr>
          <w:rFonts w:ascii="Times New Roman" w:hAnsi="Times New Roman"/>
          <w:sz w:val="24"/>
          <w:szCs w:val="24"/>
        </w:rPr>
        <w:fldChar w:fldCharType="end"/>
      </w:r>
      <w:r>
        <w:rPr>
          <w:rFonts w:ascii="Times New Roman" w:hAnsi="Times New Roman"/>
          <w:sz w:val="24"/>
          <w:szCs w:val="24"/>
        </w:rPr>
        <w:t xml:space="preserve">stated that environmental management accounting practices are a benchmark for environmental performance. This poor environmental performance </w:t>
      </w:r>
      <w:r>
        <w:rPr>
          <w:rFonts w:ascii="Times New Roman" w:hAnsi="Times New Roman"/>
          <w:sz w:val="24"/>
          <w:szCs w:val="24"/>
          <w:lang w:val="id-ID"/>
        </w:rPr>
        <w:t xml:space="preserve">shows that environmental management accounting practices in </w:t>
      </w:r>
      <w:r>
        <w:rPr>
          <w:rFonts w:ascii="Times New Roman" w:hAnsi="Times New Roman"/>
          <w:sz w:val="24"/>
          <w:szCs w:val="24"/>
        </w:rPr>
        <w:t xml:space="preserve">Semarang City </w:t>
      </w:r>
      <w:r>
        <w:rPr>
          <w:rFonts w:ascii="Times New Roman" w:hAnsi="Times New Roman"/>
          <w:sz w:val="24"/>
          <w:szCs w:val="24"/>
          <w:lang w:val="id-ID"/>
        </w:rPr>
        <w:t>have not been implemented optimally or require improvement.</w:t>
      </w:r>
      <w:r>
        <w:rPr>
          <w:rFonts w:ascii="Times New Roman" w:hAnsi="Times New Roman"/>
          <w:sz w:val="24"/>
          <w:szCs w:val="24"/>
        </w:rPr>
        <w:t xml:space="preserve"> </w:t>
      </w:r>
    </w:p>
    <w:p w14:paraId="347FA2AB" w14:textId="77777777" w:rsidR="00852C70" w:rsidRDefault="000A1714">
      <w:pPr>
        <w:widowControl w:val="0"/>
        <w:autoSpaceDE w:val="0"/>
        <w:autoSpaceDN w:val="0"/>
        <w:adjustRightInd w:val="0"/>
        <w:spacing w:before="4" w:after="0" w:line="240" w:lineRule="auto"/>
        <w:ind w:left="142" w:right="64" w:firstLine="578"/>
        <w:jc w:val="both"/>
        <w:rPr>
          <w:rFonts w:ascii="Times New Roman" w:hAnsi="Times New Roman"/>
          <w:sz w:val="24"/>
          <w:szCs w:val="24"/>
          <w:lang w:val="id-ID"/>
        </w:rPr>
      </w:pPr>
      <w:r>
        <w:rPr>
          <w:rFonts w:ascii="Times New Roman" w:hAnsi="Times New Roman"/>
          <w:sz w:val="24"/>
          <w:szCs w:val="24"/>
          <w:lang w:val="id-ID"/>
        </w:rPr>
        <w:t xml:space="preserve">From a managerial perspective, environmental management accounting consists of two combination factors, namely social activities that occur externally and activities related to internal business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{"citationItems":[{"id":"ITEM-1","itemData":{"DOI":"10.1108/09513571011080144","ISSN":"09513574","abstract":"Purpose – The paper aims to discuss the current development of sustainability accounting research, the identification of critical and managerial paths, and to assess of the future of sustainability accounting and reporting. Design/methodology/approach – The paper is a review of recent literature in sustainability accounting. Findings – Assessment of recent literature leads to the conclusion that both management decision making, through problem solving and scorekeeping, and a critical approach, through awareness raising, contribute to the development of sustainability accounting and reporting; however, the development of sustainability accounting and reporting should be orientated more towards improving management decision making. Originality/value – The paper is a systematic review of recent research developments in sustainability accounting. © 2010, Emerald Group Publishing Limited","author":[{"dropping-particle":"","family":"Burritt","given":"Roger L.","non-dropping-particle":"","parse-names":false,"suffix":""},{"dropping-particle":"","family":"Schaltegger","given":"Stefan","non-dropping-particle":"","parse-names":false,"suffix":""}],"container-title":"Accounting, Auditing &amp; Accountability Journal","id":"ITEM-1","issued":{"date-parts":[["2010"]]},"title":"Sustainability accounting and reporting: Fad or trend?","type":"article-journal"},"uris":["http://www.mendeley.com/documents/?uuid=44f58a92-c362-4b8f-95cb-55f63e9ee5a2"]}],"mendeley":{"formattedCitation":"(Burritt &amp; Schaltegger, 2010)","plainTextFormattedCitation":"(Burritt &amp; Schaltegger, 2010)","previouslyFormattedCitation":"(Burritt &amp; Schaltegger, 2010)"},"properties":{"noteIndex":0},"schema":"https://github.com/citation-style-language/schema/raw/master/csl-citation.json"}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(Burritt &amp; Schaltegger, 2010) </w:t>
      </w:r>
      <w:r>
        <w:rPr>
          <w:rFonts w:ascii="Times New Roman" w:hAnsi="Times New Roman"/>
          <w:sz w:val="24"/>
          <w:szCs w:val="24"/>
          <w:lang w:val="id-ID"/>
        </w:rPr>
        <w:fldChar w:fldCharType="end"/>
      </w:r>
      <w:r>
        <w:rPr>
          <w:rFonts w:ascii="Times New Roman" w:hAnsi="Times New Roman"/>
          <w:sz w:val="24"/>
          <w:szCs w:val="24"/>
          <w:lang w:val="id-ID"/>
        </w:rPr>
        <w:t>. The topic of environmental management accounting is an answer to one of the company's responsibilities to follow up on social incentives that occur in</w:t>
      </w:r>
      <w:r>
        <w:rPr>
          <w:rFonts w:ascii="Times New Roman" w:hAnsi="Times New Roman"/>
          <w:sz w:val="24"/>
          <w:szCs w:val="24"/>
        </w:rPr>
        <w:t xml:space="preserve"> </w:t>
      </w:r>
      <w:r>
        <w:rPr>
          <w:rFonts w:ascii="Times New Roman" w:hAnsi="Times New Roman"/>
          <w:sz w:val="24"/>
          <w:szCs w:val="24"/>
          <w:lang w:val="id-ID"/>
        </w:rPr>
        <w:t xml:space="preserve">outside the organization. Apart from creating companies that care about environmental safety, research conducted by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{"citationItems":[{"id":"ITEM-1","itemData":{"DOI":"10.5465/amp.2009.43479261","ISSN":"15589080","abstract":"Today, it is undeniable that a new enthusiasm exists for green management, not only among managers but among business school students, though this enthusiasm is just starting to be tapped in a more formal way in curriculum, instructional materials, and faculty careers and advancement. Green management matters for many reasons, but fundamentally it matters because people expect managers to use resources wisely and responsibly; protect the environment; minimize the amounts of air, water, energy, minerals, and other materials found in the final goods people consume; recycle and reuse these goods to the extent possible rather than drawing on nature to replenish them; respect nature's calm, tranquility, and beauty, and eliminate toxins that harm people in the workplace and communities. From a moral or normative perspective the obligation for green management is absolute, and whether it \"pays\" to be green is only partly relevant. Copyright by the Academy of Management; all rights reserved.","author":[{"dropping-particle":"","family":"Marcus","given":"Alfred A.","non-dropping-particle":"","parse-names":false,"suffix":""},{"dropping-particle":"","family":"Fremeth","given":"Adam R.","non-dropping-particle":"","parse-names":false,"suffix":""}],"container-title":"Academy of Management Perspectives","id":"ITEM-1","issued":{"date-parts":[["2009"]]},"title":"Green management matters regardless","type":"article-journal"},"uris":["http://www.mendeley.com/documents/?uuid=757a5de1-7e47-4789-b836-62ecbdf23d05"]}],"mendeley":{"formattedCitation":"(Marcus &amp; Fremeth, 2009)","manualFormatting":"Marcus &amp; Fremeth, (2009)","plainTextFormattedCitation":"(Marcus &amp; Fremeth, 2009)","previouslyFormattedCitation":"(Marcus &amp; Fremeth, 2009)"},"properties":{"noteIndex":0},"schema":"https://github.com/citation-style-language/schema/raw/master/csl-citation.json"}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Marcus &amp; Fremeth, (2009) </w:t>
      </w:r>
      <w:r>
        <w:rPr>
          <w:rFonts w:ascii="Times New Roman" w:hAnsi="Times New Roman"/>
          <w:sz w:val="24"/>
          <w:szCs w:val="24"/>
          <w:lang w:val="id-ID"/>
        </w:rPr>
        <w:fldChar w:fldCharType="end"/>
      </w:r>
      <w:r>
        <w:rPr>
          <w:rFonts w:ascii="Times New Roman" w:hAnsi="Times New Roman"/>
          <w:sz w:val="24"/>
          <w:szCs w:val="24"/>
          <w:lang w:val="id-ID"/>
        </w:rPr>
        <w:t xml:space="preserve">states that companies that openly implement environmental management accounting build a good reputation so that they can reduce the potential for companies to lose sales which results in decreased profits. This and supported by research conducted by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{"citationItems":[{"id":"ITEM-1","itemData":{"author":[{"dropping-particle":"","family":"Ningsih Wiwik Fitria","given":"","non-dropping-particle":"","parse-names":false,"suffix":""},{"dropping-particle":"","family":"Rachmawati Ratih","given":"","non-dropping-particle":"","parse-names":false,"suffix":""}],"id":"ITEM-1","issue":"2","issued":{"date-parts":[["2017"]]},"page":"149-158","title":"Implementasi green accounting dalam meningkatkan kinerja perusahaan | ningsih | JABE (Journal of Applied Business and Economic)","type":"article-journal","volume":"4"},"uris":["http://www.mendeley.com/documents/?uuid=ad858d3f-88f0-421e-b681-0d0e1466e628"]}],"mendeley":{"formattedCitation":"(Ningsih Wiwik Fitria &amp; Rachmawati Ratih, 2017)","manualFormatting":"Ningsih Wiwik Fitria &amp; Rachmawati Ratih, (2017)","plainTextFormattedCitation":"(Ningsih Wiwik Fitria &amp; Rachmawati Ratih, 2017)","previouslyFormattedCitation":"(Ningsih Wiwik Fitria &amp; Rachmawati Ratih, 2017)"},"properties":{"noteIndex":0},"schema":"https://github.com/citation-style-language/schema/raw/master/csl-citation.json"}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Ningsih Wiwik Fitria &amp; Rachmawati Ratih, (2017) </w:t>
      </w:r>
      <w:r>
        <w:rPr>
          <w:rFonts w:ascii="Times New Roman" w:hAnsi="Times New Roman"/>
          <w:sz w:val="24"/>
          <w:szCs w:val="24"/>
          <w:lang w:val="id-ID"/>
        </w:rPr>
        <w:fldChar w:fldCharType="end"/>
      </w:r>
      <w:r>
        <w:rPr>
          <w:rFonts w:ascii="Times New Roman" w:hAnsi="Times New Roman"/>
          <w:sz w:val="24"/>
          <w:szCs w:val="24"/>
          <w:lang w:val="id-ID"/>
        </w:rPr>
        <w:t xml:space="preserve">and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{"citationItems":[{"id":"ITEM-1","itemData":{"ISSN":": 2303-1719","abstract":"The issue of environmental damage, causes, and the effects on human life either for today’s life or future. This encourage the people to realize the importance of environmental reservation. The company, as the part of the community, is also pursued to participate in environmental reservation. This participation, of course, needs expenses, therefore it is necessary to recognize, disclosure, and presentation of them in an accounting, because the company should responsible all operational and managerial activities to all stakeholders and shareholders. Hence, the merge of green accounting or environmental accounting is a necessity. Environmental accounting is the identification, measurement, and allocation of environmental costs¸the integration of these environmental costs into business decisions, and the subsequent communication of the information to a company’s stakeholders. According the the discussion in this article and supported by the literary study, also empirical and academical studies, it can be revealed that green accounting has the significant and positive impact on the financial and environmental performance. The positive impact of the green accounting on financial is encoraged by the positive perception of consumers to the company in which will encourage the sales vlume and then increase the company profit. The environmental performance, either environmental health or environment vitality is encouraged by the voluntary of the company in copliance to the goverment laws, regulations, and policies and the consumers’ pursue to get the product with environmental oriented","author":[{"dropping-particle":"","family":"Aniela","given":"Yoshi","non-dropping-particle":"","parse-names":false,"suffix":""}],"container-title":"Berkala Ilmiah Mahasiswa Akuntansi","id":"ITEM-1","issue":"1","issued":{"date-parts":[["2012"]]},"page":"15-19","title":"Peran Akuntansi Lingkungan Dalam Meningkatkan Kinerja Lingkungan Dan Kinerja Keuangan Perusahaan","type":"article-journal","volume":"1"},"uris":["http://www.mendeley.com/documents/?uuid=70074138-4872-43a3-903c-f888c9be1b77"]}],"mendeley":{"formattedCitation":"(Aniela, 2012)","manualFormatting":"Aniela, (2012)","plainTextFormattedCitation":"(Aniela, 2012)","previouslyFormattedCitation":"(Aniela, 2012)"},"properties":{"noteIndex":0},"schema":"https://github.com/citation-style-language/schema/raw/master/csl-citation.json"}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Aniela, (2012) </w:t>
      </w:r>
      <w:r>
        <w:rPr>
          <w:rFonts w:ascii="Times New Roman" w:hAnsi="Times New Roman"/>
          <w:sz w:val="24"/>
          <w:szCs w:val="24"/>
          <w:lang w:val="id-ID"/>
        </w:rPr>
        <w:fldChar w:fldCharType="end"/>
      </w:r>
      <w:r>
        <w:rPr>
          <w:rFonts w:ascii="Times New Roman" w:hAnsi="Times New Roman"/>
          <w:sz w:val="24"/>
          <w:szCs w:val="24"/>
          <w:lang w:val="id-ID"/>
        </w:rPr>
        <w:t xml:space="preserve">shows </w:t>
      </w:r>
      <w:r>
        <w:rPr>
          <w:rFonts w:ascii="Times New Roman" w:hAnsi="Times New Roman"/>
          <w:sz w:val="24"/>
          <w:szCs w:val="24"/>
        </w:rPr>
        <w:t xml:space="preserve">that </w:t>
      </w:r>
      <w:r>
        <w:rPr>
          <w:rFonts w:ascii="Times New Roman" w:hAnsi="Times New Roman"/>
          <w:sz w:val="24"/>
          <w:szCs w:val="24"/>
          <w:lang w:val="id-ID"/>
        </w:rPr>
        <w:t xml:space="preserve">improving environmental management accounting practices not only has an impact on environmental performance, but can also have an impact on the company's financial performance. The implementation of environmental management accounting also increases the effectiveness and efficiency of company operations due to more detailed classification of environmental cost information </w:t>
      </w:r>
      <w:r>
        <w:rPr>
          <w:rFonts w:ascii="Times New Roman" w:hAnsi="Times New Roman"/>
          <w:sz w:val="24"/>
          <w:szCs w:val="24"/>
          <w:lang w:val="id-ID"/>
        </w:rPr>
        <w:lastRenderedPageBreak/>
        <w:fldChar w:fldCharType="begin"/>
      </w:r>
      <w:r>
        <w:rPr>
          <w:rFonts w:ascii="Times New Roman" w:hAnsi="Times New Roman"/>
          <w:sz w:val="24"/>
          <w:szCs w:val="24"/>
          <w:lang w:val="id-ID"/>
        </w:rPr>
        <w:instrText>ADDIN CSL_CITATION {"citationItems":[{"id":"ITEM-1","itemData":{"author":[{"dropping-particle":"","family":"Ningsih Wiwik Fitria","given":"","non-dropping-particle":"","parse-names":false,"suffix":""},{"dropping-particle":"","family":"Rachmawati Ratih","given":"","non-dropping-particle":"","parse-names":false,"suffix":""}],"id":"ITEM-1","issue":"2","issued":{"date-parts":[["2017"]]},"page":"149-158","title":"Implementasi green accounting dalam meningkatkan kinerja perusahaan | ningsih | JABE (Journal of Applied Business and Economic)","type":"article-journal","volume":"4"},"uris":["http://www.mendeley.com/documents/?uuid=ad858d3f-88f0-421e-b681-0d0e1466e628"]}],"mendeley":{"formattedCitation":"(Ningsih Wiwik Fitria &amp; Rachmawati Ratih, 2017)","plainTextFormattedCitation":"(Ningsih Wiwik Fitria &amp; Rachmawati Ratih, 2017)","previouslyFormattedCitation":"(Ningsih Wiwik Fitria &amp; Rachmawati Ratih, 2017)"},"properties":{"noteIndex":0},"schema":"https://github.com/citation-style-language/schema/raw/master/csl-citation.json"}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(Ningsih Wiwik Fitria &amp; Rachmawati Ratih, 2017) </w:t>
      </w:r>
      <w:r>
        <w:rPr>
          <w:rFonts w:ascii="Times New Roman" w:hAnsi="Times New Roman"/>
          <w:sz w:val="24"/>
          <w:szCs w:val="24"/>
          <w:lang w:val="id-ID"/>
        </w:rPr>
        <w:fldChar w:fldCharType="end"/>
      </w:r>
      <w:r>
        <w:rPr>
          <w:rFonts w:ascii="Times New Roman" w:hAnsi="Times New Roman"/>
          <w:sz w:val="24"/>
          <w:szCs w:val="24"/>
          <w:lang w:val="id-ID"/>
        </w:rPr>
        <w:t xml:space="preserve">. Thus, improvements in environmental management accounting practices need to be carried out because they not only have an impact on improving environmental performance but also on improving company performance. This is in line with the nature of manufacturing companies which have challenges in continuing to improve company performance both in terms of finance and operations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2019)","plainTextFormattedCitation":"(Mohd Fuzi et al., 2019)","previouslyFormattedCitation":"(Mohd Fuzi et al., 2019)"},"properties":{"noteIndex":0},"schema":"https://github.com/citation-style-language/schema/raw/master/csl-citation.json"}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(Mohd Fuzi et al., 2019) </w:t>
      </w:r>
      <w:r>
        <w:rPr>
          <w:rFonts w:ascii="Times New Roman" w:hAnsi="Times New Roman"/>
          <w:sz w:val="24"/>
          <w:szCs w:val="24"/>
          <w:lang w:val="id-ID"/>
        </w:rPr>
        <w:fldChar w:fldCharType="end"/>
      </w:r>
      <w:r>
        <w:rPr>
          <w:rFonts w:ascii="Times New Roman" w:hAnsi="Times New Roman"/>
          <w:sz w:val="24"/>
          <w:szCs w:val="24"/>
          <w:lang w:val="id-ID"/>
        </w:rPr>
        <w:t>.</w:t>
      </w:r>
    </w:p>
    <w:p w14:paraId="1F904ABF" w14:textId="77777777" w:rsidR="00852C70" w:rsidRDefault="000A1714">
      <w:pPr>
        <w:widowControl w:val="0"/>
        <w:autoSpaceDE w:val="0"/>
        <w:autoSpaceDN w:val="0"/>
        <w:adjustRightInd w:val="0"/>
        <w:spacing w:before="4" w:after="0" w:line="240" w:lineRule="auto"/>
        <w:ind w:left="101" w:right="64" w:firstLine="619"/>
        <w:jc w:val="both"/>
        <w:rPr>
          <w:rFonts w:ascii="Times New Roman" w:hAnsi="Times New Roman"/>
          <w:sz w:val="24"/>
          <w:szCs w:val="24"/>
          <w:lang w:val="id-ID"/>
        </w:rPr>
      </w:pPr>
      <w:r>
        <w:rPr>
          <w:rFonts w:ascii="Times New Roman" w:hAnsi="Times New Roman"/>
          <w:sz w:val="24"/>
          <w:szCs w:val="24"/>
          <w:lang w:val="id-ID"/>
        </w:rPr>
        <w:t xml:space="preserve">To support this, an information system </w:t>
      </w:r>
      <w:r>
        <w:rPr>
          <w:rFonts w:ascii="Times New Roman" w:hAnsi="Times New Roman"/>
          <w:i/>
          <w:sz w:val="24"/>
          <w:szCs w:val="24"/>
          <w:lang w:val="id-ID"/>
        </w:rPr>
        <w:t xml:space="preserve">( </w:t>
      </w:r>
      <w:r>
        <w:rPr>
          <w:rFonts w:ascii="Times New Roman" w:hAnsi="Times New Roman"/>
          <w:sz w:val="24"/>
          <w:szCs w:val="24"/>
          <w:lang w:val="id-ID"/>
        </w:rPr>
        <w:t xml:space="preserve">SI) is a solution that must be considered because it plays an important role in evaluation, monitoring and planning in managing environmental and company performance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{"citationItems":[{"id":"ITEM-1","itemData":{"DOI":"10.1108/IJQRM-11-2017-0234","ISSN":"0265671X","abstract":"Purpose: The purpose of this paper is to determine the relationship between total productive maintenance (TPM), kaizen event (KE) and innovation performance (IP) for Malaysian automotive industry using structural equation modeling (SEM). Design/methodology/approach: The samples were selected from the list of Proton and Perodua automotive industry. The number of collected respondents was 238 respondents. An SEM technique was used in the study. In order to test the reliability and validity of the instrument, reliability analysis, exploratory and confirmatory factor analysis were conducted. Findings: Based on the results, KE does not affect the relationship between TPM and IP. However, the impact of TPM on IP increases with mediating of KE for Malaysian automotive industry. Thus, this study has shown that empirical test results prove that the implementation of TPM and KE has improved the IP for Malaysian automotive industry. Research limitations/implications: This study only focused on the Malaysian automotive industry. The other limitation in this research is the number of factors and limited measurement in this study. Only a few TPM, KE and IP measurements were considered. By using the SEM technique, four TPM constructs, three for KE constructs and three for IP measures were developed and verified. Therefore, this study can assist the researchers and practitioners to the practice of TPM, KE and IP for Malaysian automotive industry. Originality/value: This research provides fundamental knowledge and direction for researchers in further research as well as practitioners to constantly improve IP through the implementation of TPM and KE for Malaysian automotive industry.","author":[{"dropping-particle":"","family":"Habidin","given":"Nurul Fadly","non-dropping-particle":"","parse-names":false,"suffix":""},{"dropping-particle":"","family":"Hashim","given":"Suzaituladwini","non-dropping-particle":"","parse-names":false,"suffix":""},{"dropping-particle":"","family":"Fuzi","given":"Nursyazwani Mohd","non-dropping-particle":"","parse-names":false,"suffix":""},{"dropping-particle":"","family":"Salleh","given":"Mad Ithnin","non-dropping-particle":"","parse-names":false,"suffix":""}],"container-title":"International Journal of Quality and Reliability Management","id":"ITEM-1","issue":"9","issued":{"date-parts":[["2018"]]},"page":"1853-1867","title":"Total productive maintenance, kaizen event, and performance","type":"article-journal","volume":"35"},"uris":["http://www.mendeley.com/documents/?uuid=1e4420e4-7a4a-4178-b06f-ef45a545a854"]}],"mendeley":{"formattedCitation":"(Habidin et al., 2018)","plainTextFormattedCitation":"(Habidin et al., 2018)","previouslyFormattedCitation":"(Habidin et al., 2018)"},"properties":{"noteIndex":0},"schema":"https://github.com/citation-style-language/schema/raw/master/csl-citation.json"}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(Habidin et al., 2018) </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{"citationItems":[{"id":"ITEM-1","itemData":{"abstract":"Environmental accounting as an aspect of management accounting serves business managers in making business decisions. Environmental costs are costs that are incurred because poor environmental quality exists or be- cause poor environmental quality may exist. In most cost accounting systems, environmental costs are hidden within overhead. Using the environmental costs definitions and classification framework just developed, environmental costs must first be separated into an environmental cost pool. The manage- ment accounting information system is an information system that produces outputs using inputs and prcosses needed to satisfy spesific management objectives. The demand for more accurate and relevant management account- ing information has led to development of activity based costing. The activity based costing facilitates environmental costing. Tracing the environmental costs to the products responsible for those costs is fundamental requirement of a sound environmental accounting system. Environmental cost reporting is essential if a company is serious about improving its environmental perfor- mance and controlling environmental cost. By comparing benefit produced with environmental cost. Eco efficiency suggest a posible modification to environmental cost reporting. Presentation environmental cost in Financial Statement according Financial Accounting Standard which is adopted from International Financial Reporting Standards.","author":[{"dropping-particle":"","family":"Santoso","given":"Hendra F","non-dropping-particle":"","parse-names":false,"suffix":""}],"container-title":"Jurnal Akuntansi","id":"ITEM-1","issue":"2","issued":{"date-parts":[["2012"]]},"page":"635-654","title":"Akuntansi Lingkungan Tinjauan terhadap Sistem Informasi Akuntansi Manajemen atas Biaya Lingkungan","type":"article-journal","volume":"12"},"uris":["http://www.mendeley.com/documents/?uuid=75825b93-98cf-4263-8952-e433d7f9bb36"]}],"mendeley":{"formattedCitation":"(Santoso, 2012)","manualFormatting":"Santoso, (2012)","plainTextFormattedCitation":"(Santoso, 2012)","previouslyFormattedCitation":"(Santoso, 2012)"},"properties":{"noteIndex":0},"schema":"https://github.com/citation-style-language/schema/raw/master/csl-citation.json"}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Santoso, (2012) </w:t>
      </w:r>
      <w:r>
        <w:rPr>
          <w:rFonts w:ascii="Times New Roman" w:hAnsi="Times New Roman"/>
          <w:sz w:val="24"/>
          <w:szCs w:val="24"/>
          <w:lang w:val="id-ID"/>
        </w:rPr>
        <w:fldChar w:fldCharType="end"/>
      </w:r>
      <w:r>
        <w:rPr>
          <w:rFonts w:ascii="Times New Roman" w:hAnsi="Times New Roman"/>
          <w:sz w:val="24"/>
          <w:szCs w:val="24"/>
          <w:lang w:val="id-ID"/>
        </w:rPr>
        <w:t xml:space="preserve">states that information processed from input </w:t>
      </w:r>
      <w:r>
        <w:rPr>
          <w:rFonts w:ascii="Times New Roman" w:hAnsi="Times New Roman"/>
          <w:i/>
          <w:sz w:val="24"/>
          <w:szCs w:val="24"/>
          <w:lang w:val="id-ID"/>
        </w:rPr>
        <w:t xml:space="preserve">produces </w:t>
      </w:r>
      <w:r>
        <w:rPr>
          <w:rFonts w:ascii="Times New Roman" w:hAnsi="Times New Roman"/>
          <w:sz w:val="24"/>
          <w:szCs w:val="24"/>
          <w:lang w:val="id-ID"/>
        </w:rPr>
        <w:t xml:space="preserve">output </w:t>
      </w:r>
      <w:r>
        <w:rPr>
          <w:rFonts w:ascii="Times New Roman" w:hAnsi="Times New Roman"/>
          <w:i/>
          <w:sz w:val="24"/>
          <w:szCs w:val="24"/>
          <w:lang w:val="id-ID"/>
        </w:rPr>
        <w:t xml:space="preserve">that </w:t>
      </w:r>
      <w:r>
        <w:rPr>
          <w:rFonts w:ascii="Times New Roman" w:hAnsi="Times New Roman"/>
          <w:sz w:val="24"/>
          <w:szCs w:val="24"/>
          <w:lang w:val="id-ID"/>
        </w:rPr>
        <w:t>is maximized as a basis for decision making to support the company's goals in gaining profits and sustaining the company's operations.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2019)","manualFormatting":"Mohd Fuzi et al., (2019)","plainTextFormattedCitation":"(Mohd Fuzi et al., 2019)","previouslyFormattedCitation":"(Mohd Fuzi et al.,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Mohd Fuzi et al., (2019) </w:t>
      </w:r>
      <w:r>
        <w:rPr>
          <w:rFonts w:ascii="Times New Roman" w:hAnsi="Times New Roman"/>
          <w:sz w:val="24"/>
          <w:szCs w:val="24"/>
        </w:rPr>
        <w:fldChar w:fldCharType="end"/>
      </w:r>
      <w:r>
        <w:rPr>
          <w:rFonts w:ascii="Times New Roman" w:hAnsi="Times New Roman"/>
          <w:sz w:val="24"/>
          <w:szCs w:val="24"/>
        </w:rPr>
        <w:t xml:space="preserve">stated that information systems can be used as an </w:t>
      </w:r>
      <w:r>
        <w:rPr>
          <w:rFonts w:ascii="Times New Roman" w:hAnsi="Times New Roman"/>
          <w:i/>
          <w:sz w:val="24"/>
          <w:szCs w:val="24"/>
        </w:rPr>
        <w:t xml:space="preserve">intervening variable </w:t>
      </w:r>
      <w:r>
        <w:rPr>
          <w:rFonts w:ascii="Times New Roman" w:hAnsi="Times New Roman"/>
          <w:sz w:val="24"/>
          <w:szCs w:val="24"/>
        </w:rPr>
        <w:t>because they can be related to environmental management accounting practices and company performance to improve environmental management accounting practices.</w:t>
      </w:r>
    </w:p>
    <w:p w14:paraId="7D9045F1" w14:textId="77777777" w:rsidR="00852C70" w:rsidRDefault="000A1714">
      <w:pPr>
        <w:widowControl w:val="0"/>
        <w:autoSpaceDE w:val="0"/>
        <w:autoSpaceDN w:val="0"/>
        <w:adjustRightInd w:val="0"/>
        <w:spacing w:before="4" w:after="0" w:line="240" w:lineRule="auto"/>
        <w:ind w:left="101" w:right="64" w:firstLine="619"/>
        <w:jc w:val="both"/>
        <w:rPr>
          <w:rFonts w:ascii="Times New Roman" w:hAnsi="Times New Roman"/>
          <w:sz w:val="24"/>
          <w:szCs w:val="24"/>
          <w:lang w:val="id-ID"/>
        </w:rPr>
      </w:pPr>
      <w:r>
        <w:rPr>
          <w:rFonts w:ascii="Times New Roman" w:hAnsi="Times New Roman"/>
          <w:sz w:val="24"/>
          <w:szCs w:val="24"/>
        </w:rPr>
        <w:t xml:space="preserve">On this basis, this research intends to use information system variables in the influence between </w:t>
      </w:r>
      <w:r>
        <w:rPr>
          <w:rFonts w:ascii="Times New Roman" w:hAnsi="Times New Roman"/>
          <w:color w:val="000000"/>
          <w:sz w:val="24"/>
          <w:szCs w:val="24"/>
        </w:rPr>
        <w:t xml:space="preserve">environmental accounting and manufacturing company performance by asking several research questions: </w:t>
      </w:r>
      <w:r>
        <w:rPr>
          <w:rFonts w:ascii="Times New Roman" w:hAnsi="Times New Roman"/>
          <w:color w:val="000000"/>
          <w:spacing w:val="5"/>
          <w:sz w:val="24"/>
          <w:szCs w:val="24"/>
        </w:rPr>
        <w:t xml:space="preserve">( </w:t>
      </w:r>
      <w:r>
        <w:rPr>
          <w:rFonts w:ascii="Times New Roman" w:hAnsi="Times New Roman"/>
          <w:color w:val="000000"/>
          <w:spacing w:val="-7"/>
          <w:sz w:val="24"/>
          <w:szCs w:val="24"/>
        </w:rPr>
        <w:t xml:space="preserve">i </w:t>
      </w:r>
      <w:r>
        <w:rPr>
          <w:rFonts w:ascii="Times New Roman" w:hAnsi="Times New Roman"/>
          <w:color w:val="000000"/>
          <w:sz w:val="24"/>
          <w:szCs w:val="24"/>
        </w:rPr>
        <w:t>)</w:t>
      </w:r>
      <w:r>
        <w:rPr>
          <w:rFonts w:ascii="Times New Roman" w:hAnsi="Times New Roman"/>
          <w:color w:val="000000"/>
          <w:spacing w:val="10"/>
          <w:sz w:val="24"/>
          <w:szCs w:val="24"/>
        </w:rPr>
        <w:t xml:space="preserve"> </w:t>
      </w:r>
      <w:r>
        <w:rPr>
          <w:rFonts w:ascii="Times New Roman" w:hAnsi="Times New Roman"/>
          <w:color w:val="000000"/>
          <w:spacing w:val="-2"/>
          <w:sz w:val="24"/>
          <w:szCs w:val="24"/>
        </w:rPr>
        <w:t>is</w:t>
      </w:r>
      <w:r>
        <w:rPr>
          <w:rFonts w:ascii="Times New Roman" w:hAnsi="Times New Roman"/>
          <w:color w:val="000000"/>
          <w:sz w:val="24"/>
          <w:szCs w:val="24"/>
        </w:rPr>
        <w:t>​</w:t>
      </w:r>
      <w:r>
        <w:rPr>
          <w:rFonts w:ascii="Times New Roman" w:hAnsi="Times New Roman"/>
          <w:color w:val="000000"/>
          <w:spacing w:val="3"/>
          <w:sz w:val="24"/>
          <w:szCs w:val="24"/>
        </w:rPr>
        <w:t>​</w:t>
      </w:r>
      <w:r>
        <w:rPr>
          <w:rFonts w:ascii="Times New Roman" w:hAnsi="Times New Roman"/>
          <w:color w:val="000000"/>
          <w:spacing w:val="-5"/>
          <w:sz w:val="24"/>
          <w:szCs w:val="24"/>
        </w:rPr>
        <w:t>​</w:t>
      </w:r>
      <w:r>
        <w:rPr>
          <w:rFonts w:ascii="Times New Roman" w:hAnsi="Times New Roman"/>
          <w:color w:val="000000"/>
          <w:spacing w:val="3"/>
          <w:sz w:val="24"/>
          <w:szCs w:val="24"/>
        </w:rPr>
        <w:t>​</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z w:val="24"/>
          <w:szCs w:val="24"/>
        </w:rPr>
        <w:t xml:space="preserve">there is a </w:t>
      </w:r>
      <w:r>
        <w:rPr>
          <w:rFonts w:ascii="Times New Roman" w:hAnsi="Times New Roman"/>
          <w:color w:val="000000"/>
          <w:spacing w:val="3"/>
          <w:sz w:val="24"/>
          <w:szCs w:val="24"/>
        </w:rPr>
        <w:t xml:space="preserve">significant influence of environmental accounting and manufacturing company </w:t>
      </w:r>
      <w:r>
        <w:rPr>
          <w:rFonts w:ascii="Times New Roman" w:hAnsi="Times New Roman"/>
          <w:color w:val="000000"/>
          <w:sz w:val="24"/>
          <w:szCs w:val="24"/>
        </w:rPr>
        <w:t xml:space="preserve">performance , </w:t>
      </w:r>
      <w:r>
        <w:rPr>
          <w:rFonts w:ascii="Times New Roman" w:hAnsi="Times New Roman"/>
          <w:color w:val="000000"/>
          <w:spacing w:val="5"/>
          <w:sz w:val="24"/>
          <w:szCs w:val="24"/>
        </w:rPr>
        <w:t xml:space="preserve">( </w:t>
      </w:r>
      <w:r>
        <w:rPr>
          <w:rFonts w:ascii="Times New Roman" w:hAnsi="Times New Roman"/>
          <w:color w:val="000000"/>
          <w:spacing w:val="-2"/>
          <w:sz w:val="24"/>
          <w:szCs w:val="24"/>
        </w:rPr>
        <w:t xml:space="preserve">ii </w:t>
      </w:r>
      <w:r>
        <w:rPr>
          <w:rFonts w:ascii="Times New Roman" w:hAnsi="Times New Roman"/>
          <w:color w:val="000000"/>
          <w:sz w:val="24"/>
          <w:szCs w:val="24"/>
        </w:rPr>
        <w:t xml:space="preserve">) </w:t>
      </w:r>
      <w:r>
        <w:rPr>
          <w:rFonts w:ascii="Times New Roman" w:hAnsi="Times New Roman"/>
          <w:color w:val="000000"/>
          <w:spacing w:val="-1"/>
          <w:sz w:val="24"/>
          <w:szCs w:val="24"/>
        </w:rPr>
        <w:t>what</w:t>
      </w:r>
      <w:r>
        <w:rPr>
          <w:rFonts w:ascii="Times New Roman" w:hAnsi="Times New Roman"/>
          <w:color w:val="000000"/>
          <w:spacing w:val="4"/>
          <w:sz w:val="24"/>
          <w:szCs w:val="24"/>
        </w:rPr>
        <w:t xml:space="preserve"> </w:t>
      </w:r>
      <w:r>
        <w:rPr>
          <w:rFonts w:ascii="Times New Roman" w:hAnsi="Times New Roman"/>
          <w:color w:val="000000"/>
          <w:spacing w:val="-2"/>
          <w:sz w:val="24"/>
          <w:szCs w:val="24"/>
        </w:rPr>
        <w:t xml:space="preserve">is there an influence between environmental accounting and information systems, </w:t>
      </w:r>
      <w:r>
        <w:rPr>
          <w:rFonts w:ascii="Times New Roman" w:hAnsi="Times New Roman"/>
          <w:color w:val="000000"/>
          <w:spacing w:val="5"/>
          <w:sz w:val="24"/>
          <w:szCs w:val="24"/>
        </w:rPr>
        <w:t xml:space="preserve">( </w:t>
      </w:r>
      <w:r>
        <w:rPr>
          <w:rFonts w:ascii="Times New Roman" w:hAnsi="Times New Roman"/>
          <w:color w:val="000000"/>
          <w:spacing w:val="-2"/>
          <w:sz w:val="24"/>
          <w:szCs w:val="24"/>
        </w:rPr>
        <w:t xml:space="preserve">iii </w:t>
      </w:r>
      <w:r>
        <w:rPr>
          <w:rFonts w:ascii="Times New Roman" w:hAnsi="Times New Roman"/>
          <w:color w:val="000000"/>
          <w:sz w:val="24"/>
          <w:szCs w:val="24"/>
        </w:rPr>
        <w:t xml:space="preserve">) is there a significant influence between information systems and manufacturing company performance, and </w:t>
      </w:r>
      <w:r>
        <w:rPr>
          <w:rFonts w:ascii="Times New Roman" w:hAnsi="Times New Roman"/>
          <w:color w:val="000000"/>
          <w:spacing w:val="5"/>
          <w:sz w:val="24"/>
          <w:szCs w:val="24"/>
        </w:rPr>
        <w:t xml:space="preserve">( </w:t>
      </w:r>
      <w:r>
        <w:rPr>
          <w:rFonts w:ascii="Times New Roman" w:hAnsi="Times New Roman"/>
          <w:color w:val="000000"/>
          <w:spacing w:val="-2"/>
          <w:sz w:val="24"/>
          <w:szCs w:val="24"/>
        </w:rPr>
        <w:t xml:space="preserve">iv </w:t>
      </w:r>
      <w:r>
        <w:rPr>
          <w:rFonts w:ascii="Times New Roman" w:hAnsi="Times New Roman"/>
          <w:color w:val="000000"/>
          <w:sz w:val="24"/>
          <w:szCs w:val="24"/>
        </w:rPr>
        <w:t>) is there a mediating effect from information systems on the influence of environmental accounting and manufacturing company performance.</w:t>
      </w:r>
      <w:r>
        <w:rPr>
          <w:rFonts w:ascii="Times New Roman" w:hAnsi="Times New Roman"/>
          <w:color w:val="000000"/>
          <w:sz w:val="24"/>
          <w:szCs w:val="24"/>
          <w:lang w:val="id-ID"/>
        </w:rPr>
        <w:t xml:space="preserve"> </w:t>
      </w:r>
    </w:p>
    <w:p w14:paraId="22D83679" w14:textId="77777777" w:rsidR="00852C70" w:rsidRDefault="00852C70">
      <w:pPr>
        <w:widowControl w:val="0"/>
        <w:autoSpaceDE w:val="0"/>
        <w:autoSpaceDN w:val="0"/>
        <w:adjustRightInd w:val="0"/>
        <w:spacing w:before="4" w:after="0" w:line="240" w:lineRule="auto"/>
        <w:ind w:left="101" w:right="64" w:firstLine="619"/>
        <w:jc w:val="both"/>
        <w:rPr>
          <w:rFonts w:ascii="Times New Roman" w:hAnsi="Times New Roman"/>
          <w:sz w:val="24"/>
          <w:szCs w:val="24"/>
          <w:lang w:val="id-ID"/>
        </w:rPr>
      </w:pPr>
    </w:p>
    <w:p w14:paraId="5BAE869D" w14:textId="6913908D" w:rsidR="00852C70" w:rsidRDefault="000A1714">
      <w:pPr>
        <w:widowControl w:val="0"/>
        <w:autoSpaceDE w:val="0"/>
        <w:autoSpaceDN w:val="0"/>
        <w:adjustRightInd w:val="0"/>
        <w:spacing w:after="0" w:line="240" w:lineRule="auto"/>
        <w:ind w:left="101" w:right="86"/>
        <w:jc w:val="both"/>
        <w:rPr>
          <w:rFonts w:ascii="Times New Roman" w:hAnsi="Times New Roman"/>
          <w:b/>
          <w:bCs/>
          <w:sz w:val="24"/>
          <w:szCs w:val="24"/>
          <w:lang w:val="id-ID"/>
        </w:rPr>
      </w:pPr>
      <w:r>
        <w:rPr>
          <w:rFonts w:ascii="Times New Roman" w:hAnsi="Times New Roman"/>
          <w:b/>
          <w:bCs/>
          <w:sz w:val="24"/>
          <w:szCs w:val="24"/>
        </w:rPr>
        <w:t xml:space="preserve">2. </w:t>
      </w:r>
      <w:r>
        <w:rPr>
          <w:rFonts w:ascii="Times New Roman" w:hAnsi="Times New Roman"/>
          <w:b/>
          <w:bCs/>
          <w:sz w:val="24"/>
          <w:szCs w:val="24"/>
        </w:rPr>
        <w:tab/>
      </w:r>
      <w:r w:rsidR="00B65E81">
        <w:rPr>
          <w:rFonts w:ascii="Times New Roman" w:hAnsi="Times New Roman"/>
          <w:b/>
          <w:bCs/>
          <w:spacing w:val="3"/>
          <w:sz w:val="24"/>
          <w:szCs w:val="24"/>
        </w:rPr>
        <w:t>LITERATUR REVIEW</w:t>
      </w:r>
    </w:p>
    <w:p w14:paraId="516F19E3" w14:textId="4B8359EB" w:rsidR="00852C70" w:rsidRDefault="000A1714">
      <w:pPr>
        <w:widowControl w:val="0"/>
        <w:autoSpaceDE w:val="0"/>
        <w:autoSpaceDN w:val="0"/>
        <w:adjustRightInd w:val="0"/>
        <w:spacing w:after="0" w:line="240" w:lineRule="auto"/>
        <w:ind w:left="101" w:right="7198"/>
        <w:jc w:val="both"/>
        <w:rPr>
          <w:rFonts w:ascii="Times New Roman" w:hAnsi="Times New Roman"/>
          <w:b/>
          <w:bCs/>
          <w:sz w:val="24"/>
          <w:szCs w:val="24"/>
        </w:rPr>
      </w:pPr>
      <w:r>
        <w:rPr>
          <w:rFonts w:ascii="Times New Roman" w:hAnsi="Times New Roman"/>
          <w:b/>
          <w:bCs/>
          <w:sz w:val="24"/>
          <w:szCs w:val="24"/>
          <w:lang w:val="id-ID"/>
        </w:rPr>
        <w:t xml:space="preserve">2.1. </w:t>
      </w:r>
      <w:r w:rsidR="00B65E81">
        <w:rPr>
          <w:rFonts w:ascii="Times New Roman" w:hAnsi="Times New Roman"/>
          <w:b/>
          <w:bCs/>
          <w:sz w:val="24"/>
          <w:szCs w:val="24"/>
          <w:lang w:val="en-US"/>
        </w:rPr>
        <w:t xml:space="preserve">   </w:t>
      </w:r>
      <w:proofErr w:type="spellStart"/>
      <w:r>
        <w:rPr>
          <w:rFonts w:ascii="Times New Roman" w:hAnsi="Times New Roman"/>
          <w:b/>
          <w:bCs/>
          <w:sz w:val="24"/>
          <w:szCs w:val="24"/>
          <w:lang w:val="id-ID"/>
        </w:rPr>
        <w:t>Theoritical</w:t>
      </w:r>
      <w:proofErr w:type="spellEnd"/>
      <w:r>
        <w:rPr>
          <w:rFonts w:ascii="Times New Roman" w:hAnsi="Times New Roman"/>
          <w:b/>
          <w:bCs/>
          <w:sz w:val="24"/>
          <w:szCs w:val="24"/>
          <w:lang w:val="id-ID"/>
        </w:rPr>
        <w:t xml:space="preserve"> </w:t>
      </w:r>
    </w:p>
    <w:p w14:paraId="2E41060A" w14:textId="77777777" w:rsidR="00852C70" w:rsidRDefault="000A1714">
      <w:pPr>
        <w:widowControl w:val="0"/>
        <w:autoSpaceDE w:val="0"/>
        <w:autoSpaceDN w:val="0"/>
        <w:adjustRightInd w:val="0"/>
        <w:spacing w:after="0" w:line="240" w:lineRule="auto"/>
        <w:ind w:left="101" w:right="6039"/>
        <w:jc w:val="both"/>
        <w:rPr>
          <w:rFonts w:ascii="Times New Roman" w:hAnsi="Times New Roman"/>
          <w:b/>
          <w:bCs/>
          <w:sz w:val="24"/>
          <w:szCs w:val="24"/>
          <w:highlight w:val="yellow"/>
        </w:rPr>
      </w:pPr>
      <w:r>
        <w:rPr>
          <w:rFonts w:ascii="Times New Roman" w:hAnsi="Times New Roman"/>
          <w:b/>
          <w:bCs/>
          <w:sz w:val="24"/>
          <w:szCs w:val="24"/>
        </w:rPr>
        <w:tab/>
        <w:t>Institutional Theory</w:t>
      </w:r>
    </w:p>
    <w:p w14:paraId="0F9168AE" w14:textId="77777777" w:rsidR="00852C70" w:rsidRDefault="000A1714">
      <w:pPr>
        <w:widowControl w:val="0"/>
        <w:autoSpaceDE w:val="0"/>
        <w:autoSpaceDN w:val="0"/>
        <w:adjustRightInd w:val="0"/>
        <w:spacing w:after="0" w:line="240" w:lineRule="auto"/>
        <w:ind w:left="101" w:right="86"/>
        <w:jc w:val="both"/>
        <w:rPr>
          <w:rFonts w:ascii="Times New Roman" w:hAnsi="Times New Roman"/>
          <w:b/>
          <w:bCs/>
          <w:sz w:val="24"/>
          <w:szCs w:val="24"/>
          <w:highlight w:val="yellow"/>
        </w:rPr>
      </w:pPr>
      <w:r>
        <w:rPr>
          <w:rFonts w:ascii="Times New Roman" w:hAnsi="Times New Roman"/>
          <w:bCs/>
          <w:sz w:val="24"/>
          <w:szCs w:val="24"/>
        </w:rPr>
        <w:tab/>
        <w:t>Institutional theory discusses how an organization's structure and activities are formed under the coercion of an institution such as the government, bodies operating in the professional sphere, and the environment surrounding the organization or company.</w:t>
      </w:r>
      <w:r>
        <w:rPr>
          <w:rFonts w:ascii="Times New Roman" w:hAnsi="Times New Roman"/>
          <w:b/>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10.1016/j.sbspro.2015.01.411","ISSN":"1877-0428","author":[{"dropping-particle":"","family":"Zuriana","given":"Che","non-dropping-particle":"","parse-names":false,"suffix":""},{"dropping-particle":"","family":"Jamil","given":"Muhammad","non-dropping-particle":"","parse-names":false,"suffix":""},{"dropping-particle":"","family":"Mohamed","given":"Rapiah","non-dropping-particle":"","parse-names":false,"suffix":""},{"dropping-particle":"","family":"Muhammad","given":"Faidzulaini","non-dropping-particle":"","parse-names":false,"suffix":""},{"dropping-particle":"","family":"Ali","given":"Amin","non-dropping-particle":"","parse-names":false,"suffix":""}],"container-title":"Procedia - Social and Behavioral Sciences","id":"ITEM-1","issued":{"date-parts":[["2015"]]},"page":"619-626","publisher":"Elsevier B.V.","title":"Environmental management accounting practices in small medium manufacturing firms","type":"article-journal","volume":"172"},"uris":["http://www.mendeley.com/documents/?uuid=f175cf03-ce4f-4741-a789-fcc418fd7c33"]}],"mendeley":{"formattedCitation":"(Zuriana et al., 2015)","plainTextFormattedCitation":"(Zuriana et al., 2015)","previouslyFormattedCitation":"(Zuriana et al., 2015)"},"properties":{"noteIndex":0},"schema":"https://github.com/citation-style-language/schema/raw/master/csl-citation.json"}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(Zuriana et al., 2015) </w:t>
      </w:r>
      <w:r>
        <w:rPr>
          <w:rFonts w:ascii="Times New Roman" w:hAnsi="Times New Roman"/>
          <w:bCs/>
          <w:sz w:val="24"/>
          <w:szCs w:val="24"/>
        </w:rPr>
        <w:fldChar w:fldCharType="end"/>
      </w:r>
      <w:r>
        <w:rPr>
          <w:rFonts w:ascii="Times New Roman" w:hAnsi="Times New Roman"/>
          <w:bCs/>
          <w:sz w:val="24"/>
          <w:szCs w:val="24"/>
        </w:rPr>
        <w:t xml:space="preserve">. This theory is based on an organization or company that needs external legitimacy so that the organization or company can survive and is worthy of support. Reporting from the diction.id website, the environment around a company or organization demands in two ways, namely: (i) demands that force a company or organization to work effectively and efficiently in carrying out the company's or organization's activities, (ii) demands that originate from social and culture of society so that companies or organizations must comply with the rules that apply to social life such as values, norms, rules and beliefs.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{"citationItems":[{"id":"ITEM-1","itemData":{"DOI":"10.2307/2095101","ISSN":"00031224","abstract":"What makes organizations so similar? We contend that the engine of rationalization and bureaucratization has moved from the competitive marketplace to the state and the professions. Once a set of organizations emerges as a field, a paradox arises: rational actors make their organizations increasingly similar as they try to change them. We describe three isomorphic processes-coercive, mimetic, and normative-leading to this outcome. We then specify hypotheses about the impact of resource centralization and dependency, goal ambiguity and technical uncertainty, and professionalization and structuration on isomorphic change. Finally, we suggest implications for theories of organizations and social change. In","author":[{"dropping-particle":"","family":"DiMaggio","given":"Paul J.","non-dropping-particle":"","parse-names":false,"suffix":""},{"dropping-particle":"","family":"Powell","given":"Walter W.","non-dropping-particle":"","parse-names":false,"suffix":""}],"container-title":"American Sociological Review","id":"ITEM-1","issue":"2","issued":{"date-parts":[["1983"]]},"page":"147","title":"The Iron Cage Revisited: Institutional Isomorphism and Collective Rationality in Organizational Fields","type":"article","volume":"48"},"uris":["http://www.mendeley.com/documents/?uuid=4d9e1564-f525-4655-9e69-2ac0edbf03a9"]}],"mendeley":{"formattedCitation":"(DiMaggio &amp; Powell, 1983)","plainTextFormattedCitation":"(DiMaggio &amp; Powell, 1983)","previouslyFormattedCitation":"(DiMaggio &amp; Powell, 1983)"},"properties":{"noteIndex":0},"schema":"https://github.com/citation-style-language/schema/raw/master/csl-citation.json"}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(DiMaggio &amp; Powell, 1983) </w:t>
      </w:r>
      <w:r>
        <w:rPr>
          <w:rFonts w:ascii="Times New Roman" w:hAnsi="Times New Roman"/>
          <w:bCs/>
          <w:sz w:val="24"/>
          <w:szCs w:val="24"/>
        </w:rPr>
        <w:fldChar w:fldCharType="end"/>
      </w:r>
      <w:r>
        <w:rPr>
          <w:rFonts w:ascii="Times New Roman" w:hAnsi="Times New Roman"/>
          <w:bCs/>
          <w:sz w:val="24"/>
          <w:szCs w:val="24"/>
        </w:rPr>
        <w:t xml:space="preserve">grouped three dimensions of institutional pressure, namely: (i) legal pressure ( </w:t>
      </w:r>
      <w:r>
        <w:rPr>
          <w:rFonts w:ascii="Times New Roman" w:hAnsi="Times New Roman"/>
          <w:bCs/>
          <w:i/>
          <w:sz w:val="24"/>
          <w:szCs w:val="24"/>
        </w:rPr>
        <w:t xml:space="preserve">coercive pressures </w:t>
      </w:r>
      <w:r>
        <w:rPr>
          <w:rFonts w:ascii="Times New Roman" w:hAnsi="Times New Roman"/>
          <w:bCs/>
          <w:sz w:val="24"/>
          <w:szCs w:val="24"/>
        </w:rPr>
        <w:t xml:space="preserve">), (ii) imitation of other companies or organizations ( </w:t>
      </w:r>
      <w:r>
        <w:rPr>
          <w:rFonts w:ascii="Times New Roman" w:hAnsi="Times New Roman"/>
          <w:bCs/>
          <w:i/>
          <w:sz w:val="24"/>
          <w:szCs w:val="24"/>
        </w:rPr>
        <w:t xml:space="preserve">mimetic pressures </w:t>
      </w:r>
      <w:r>
        <w:rPr>
          <w:rFonts w:ascii="Times New Roman" w:hAnsi="Times New Roman"/>
          <w:bCs/>
          <w:sz w:val="24"/>
          <w:szCs w:val="24"/>
        </w:rPr>
        <w:t xml:space="preserve">), and (iii) cultural pressures ( </w:t>
      </w:r>
      <w:r>
        <w:rPr>
          <w:rFonts w:ascii="Times New Roman" w:hAnsi="Times New Roman"/>
          <w:bCs/>
          <w:i/>
          <w:sz w:val="24"/>
          <w:szCs w:val="24"/>
        </w:rPr>
        <w:t xml:space="preserve">normative pressures </w:t>
      </w:r>
      <w:r>
        <w:rPr>
          <w:rFonts w:ascii="Times New Roman" w:hAnsi="Times New Roman"/>
          <w:bCs/>
          <w:sz w:val="24"/>
          <w:szCs w:val="24"/>
        </w:rPr>
        <w:t xml:space="preserve">). Legal pressure explains that the government or body authorized to make regulations can intervene in the activities carried out by the company through changes to applicable regulations. Imitation pressure from other companies is a response from companies regarding proven techniques or something that rival companies do when faced with uncertain situations. Cultural pressure states that various types of activities of each individual, group, or leader of an organization or company determine how the conditions of each member work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{"citationItems":[{"id":"ITEM-1","itemData":{"DOI":"10.2307/2095101","ISSN":"00031224","abstract":"What makes organizations so similar? We contend that the engine of rationalization and bureaucratization has moved from the competitive marketplace to the state and the professions. Once a set of organizations emerges as a field, a paradox arises: rational actors make their organizations increasingly similar as they try to change them. We describe three isomorphic processes-coercive, mimetic, and normative-leading to this outcome. We then specify hypotheses about the impact of resource centralization and dependency, goal ambiguity and technical uncertainty, and professionalization and structuration on isomorphic change. Finally, we suggest implications for theories of organizations and social change. In","author":[{"dropping-particle":"","family":"DiMaggio","given":"Paul J.","non-dropping-particle":"","parse-names":false,"suffix":""},{"dropping-particle":"","family":"Powell","given":"Walter W.","non-dropping-particle":"","parse-names":false,"suffix":""}],"container-title":"American Sociological Review","id":"ITEM-1","issue":"2","issued":{"date-parts":[["1983"]]},"page":"147","title":"The Iron Cage Revisited: Institutional Isomorphism and Collective Rationality in Organizational Fields","type":"article","volume":"48"},"uris":["http://www.mendeley.com/documents/?uuid=4d9e1564-f525-4655-9e69-2ac0edbf03a9"]}],"mendeley":{"formattedCitation":"(DiMaggio &amp; Powell, 1983)","plainTextFormattedCitation":"(DiMaggio &amp; Powell, 1983)","previouslyFormattedCitation":"(DiMaggio &amp; Powell, 1983)"},"properties":{"noteIndex":0},"schema":"https://github.com/citation-style-language/schema/raw/master/csl-citation.json"}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(DiMaggio &amp; Powell, 1983) </w:t>
      </w:r>
      <w:r>
        <w:rPr>
          <w:rFonts w:ascii="Times New Roman" w:hAnsi="Times New Roman"/>
          <w:bCs/>
          <w:sz w:val="24"/>
          <w:szCs w:val="24"/>
        </w:rPr>
        <w:fldChar w:fldCharType="end"/>
      </w:r>
      <w:r>
        <w:rPr>
          <w:rFonts w:ascii="Times New Roman" w:hAnsi="Times New Roman"/>
          <w:bCs/>
          <w:sz w:val="24"/>
          <w:szCs w:val="24"/>
        </w:rPr>
        <w:t>.</w:t>
      </w:r>
      <w:r>
        <w:rPr>
          <w:rFonts w:ascii="Times New Roman" w:hAnsi="Times New Roman"/>
          <w:bCs/>
          <w:sz w:val="24"/>
          <w:szCs w:val="24"/>
        </w:rPr>
        <w:br/>
      </w:r>
    </w:p>
    <w:p w14:paraId="586993C8" w14:textId="77777777" w:rsidR="00852C70" w:rsidRDefault="000A1714">
      <w:pPr>
        <w:widowControl w:val="0"/>
        <w:autoSpaceDE w:val="0"/>
        <w:autoSpaceDN w:val="0"/>
        <w:adjustRightInd w:val="0"/>
        <w:spacing w:after="0" w:line="240" w:lineRule="auto"/>
        <w:ind w:left="101" w:right="86" w:firstLine="619"/>
        <w:jc w:val="both"/>
        <w:rPr>
          <w:rFonts w:ascii="Times New Roman" w:hAnsi="Times New Roman"/>
          <w:b/>
          <w:bCs/>
          <w:sz w:val="24"/>
          <w:szCs w:val="24"/>
          <w:lang w:val="id-ID"/>
        </w:rPr>
      </w:pPr>
      <w:r>
        <w:rPr>
          <w:rFonts w:ascii="Times New Roman" w:hAnsi="Times New Roman"/>
          <w:b/>
          <w:bCs/>
          <w:sz w:val="24"/>
          <w:szCs w:val="24"/>
          <w:lang w:val="id-ID"/>
        </w:rPr>
        <w:t>Environmental Management Accounting Practices</w:t>
      </w:r>
    </w:p>
    <w:p w14:paraId="65573ED0" w14:textId="3729479B" w:rsidR="00852C70" w:rsidRDefault="000A1714">
      <w:pPr>
        <w:widowControl w:val="0"/>
        <w:autoSpaceDE w:val="0"/>
        <w:autoSpaceDN w:val="0"/>
        <w:adjustRightInd w:val="0"/>
        <w:spacing w:after="0" w:line="240" w:lineRule="auto"/>
        <w:ind w:left="101" w:right="86" w:firstLine="619"/>
        <w:jc w:val="both"/>
        <w:rPr>
          <w:rFonts w:ascii="Times New Roman" w:hAnsi="Times New Roman"/>
          <w:bCs/>
          <w:sz w:val="24"/>
          <w:szCs w:val="24"/>
        </w:rPr>
      </w:pPr>
      <w:r>
        <w:rPr>
          <w:rFonts w:ascii="Times New Roman" w:hAnsi="Times New Roman"/>
          <w:bCs/>
          <w:sz w:val="24"/>
          <w:szCs w:val="24"/>
          <w:lang w:val="id-ID"/>
        </w:rPr>
        <w:lastRenderedPageBreak/>
        <w:t xml:space="preserve">The activities of manufacturing companies are considered to have many benefits for society. Apart from producing products that are needed daily, manufacturing companies also play a role in absorbing labor, thereby reducing the unemployment rate. However, behind </w:t>
      </w:r>
      <w:r>
        <w:rPr>
          <w:rFonts w:ascii="Times New Roman" w:hAnsi="Times New Roman"/>
          <w:bCs/>
          <w:sz w:val="24"/>
          <w:szCs w:val="24"/>
        </w:rPr>
        <w:t xml:space="preserve">this mutually beneficial relationship </w:t>
      </w:r>
      <w:r>
        <w:rPr>
          <w:rFonts w:ascii="Times New Roman" w:hAnsi="Times New Roman"/>
          <w:bCs/>
          <w:sz w:val="24"/>
          <w:szCs w:val="24"/>
          <w:lang w:val="id-ID"/>
        </w:rPr>
        <w:t xml:space="preserve">, there is a dilemma where companies have the potential to produce hazardous waste and have a major impact on environmental damage. </w:t>
      </w:r>
      <w:r w:rsidR="00B41C97">
        <w:rPr>
          <w:rFonts w:ascii="Times New Roman" w:hAnsi="Times New Roman"/>
          <w:bCs/>
          <w:sz w:val="24"/>
          <w:szCs w:val="24"/>
        </w:rPr>
        <w:t xml:space="preserve">Because </w:t>
      </w:r>
      <w:r>
        <w:rPr>
          <w:rFonts w:ascii="Times New Roman" w:hAnsi="Times New Roman"/>
          <w:bCs/>
          <w:sz w:val="24"/>
          <w:szCs w:val="24"/>
        </w:rPr>
        <w:t>of that's a lot company start implement accountancy environmental management .</w:t>
      </w:r>
    </w:p>
    <w:p w14:paraId="5F11A5A0" w14:textId="77777777" w:rsidR="00852C70" w:rsidRDefault="000A1714">
      <w:pPr>
        <w:widowControl w:val="0"/>
        <w:autoSpaceDE w:val="0"/>
        <w:autoSpaceDN w:val="0"/>
        <w:adjustRightInd w:val="0"/>
        <w:spacing w:after="0" w:line="240" w:lineRule="auto"/>
        <w:ind w:left="101" w:right="86" w:firstLine="619"/>
        <w:jc w:val="both"/>
        <w:rPr>
          <w:rFonts w:ascii="Times New Roman" w:hAnsi="Times New Roman"/>
          <w:bCs/>
          <w:sz w:val="24"/>
          <w:szCs w:val="24"/>
          <w:lang w:val="id-ID"/>
        </w:rPr>
      </w:pPr>
      <w:r>
        <w:rPr>
          <w:rFonts w:ascii="Times New Roman" w:hAnsi="Times New Roman"/>
          <w:bCs/>
          <w:i/>
          <w:sz w:val="24"/>
          <w:szCs w:val="24"/>
          <w:lang w:val="id-ID"/>
        </w:rPr>
        <w:t xml:space="preserve">Environmental </w:t>
      </w:r>
      <w:r>
        <w:rPr>
          <w:rFonts w:ascii="Times New Roman" w:hAnsi="Times New Roman"/>
          <w:bCs/>
          <w:sz w:val="24"/>
          <w:szCs w:val="24"/>
          <w:lang w:val="id-ID"/>
        </w:rPr>
        <w:t xml:space="preserve">management accounting (EMA) is an accounting practice that identifies and measures information related to the environment to support the decision-making process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{"citationItems":[{"id":"ITEM-1","itemData":{"ISBN":"9211044952","abstract":"Recent years have seen increasing pressures and incentives for\nthe adoption of cleaner production processes and pollution\nprevention measures by industry emerging from both inside and\noutside of commerce. Internally the driver is to reduce the\nproducers costs associated with waste and compliance with\nregulations. Externally the corporate environmental performance\nis increasingly scrutinised by investors, regulatory bodies, and\nthe public at large. Some enterprises are reviewing and changing\ntheir management procedures in order to measure more accurately\nthe costs of environmental impacts and the benefit of\nenvironmental protection. With increasingly tough environmental\nprotection policies come steadily increasing business costs.\nConventional managerial accounting systems do not adequately\nidentify these costs, thereby complicating or preventing actions\nto reduce them. Environmental managerial accounting (EMA) covers\na variety of techniques for identifying and measuring the full\nrange of environmental costs. While managerial accounting\nsystems are traditionally viewed as matters internal to a\nbusiness, the potential public benefits that can result from\ntheir widespread adoption by corporations provide an incentive\nfor an active government role in promoting such systems. This\nreport presents the considerations from a series of United\nNations sponsored expert meetings on how governments might\npromote and advance EMA.","author":[{"dropping-particle":"","family":"United Nations Division for Sustainable Development.","given":"","non-dropping-particle":"","parse-names":false,"suffix":""}],"container-title":"United Nations publication","id":"ITEM-1","issued":{"date-parts":[["2000"]]},"title":"Improving governments' role in the promotion of environmental managerial accounting","type":"book"},"uris":["http://www.mendeley.com/documents/?uuid=589eb08a-0d73-4277-ad30-1029463f50aa"]}],"mendeley":{"formattedCitation":"(United Nations Division for Sustainable Development., 2000)","manualFormatting":"(UNDSD., 2000)","plainTextFormattedCitation":"(United Nations Division for Sustainable Development., 2000)","previouslyFormattedCitation":"(United Nations Division for Sustainable Development., 2000)"},"properties":{"noteIndex":0},"schema":"https://github.com/citation-style-language/schema/raw/master/csl-citation.json"}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(UNDSD., 2000) </w:t>
      </w:r>
      <w:r>
        <w:rPr>
          <w:rFonts w:ascii="Times New Roman" w:hAnsi="Times New Roman"/>
          <w:bCs/>
          <w:sz w:val="24"/>
          <w:szCs w:val="24"/>
          <w:lang w:val="id-ID"/>
        </w:rPr>
        <w:fldChar w:fldCharType="end"/>
      </w:r>
      <w:r>
        <w:rPr>
          <w:rFonts w:ascii="Times New Roman" w:hAnsi="Times New Roman"/>
          <w:bCs/>
          <w:sz w:val="24"/>
          <w:szCs w:val="24"/>
          <w:lang w:val="id-ID"/>
        </w:rPr>
        <w:t xml:space="preserve">.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{"citationItems":[{"id":"ITEM-1","itemData":{"author":[{"dropping-particle":"","family":"Ningsih Wiwik Fitria","given":"","non-dropping-particle":"","parse-names":false,"suffix":""},{"dropping-particle":"","family":"Rachmawati Ratih","given":"","non-dropping-particle":"","parse-names":false,"suffix":""}],"id":"ITEM-1","issue":"2","issued":{"date-parts":[["2017"]]},"page":"149-158","title":"Implementasi green accounting dalam meningkatkan kinerja perusahaan | ningsih | JABE (Journal of Applied Business and Economic)","type":"article-journal","volume":"4"},"uris":["http://www.mendeley.com/documents/?uuid=ad858d3f-88f0-421e-b681-0d0e1466e628"]}],"mendeley":{"formattedCitation":"(Ningsih Wiwik Fitria &amp; Rachmawati Ratih, 2017)","manualFormatting":"Ningsih Wiwik Fitria &amp; Rachmawati Ratih, (2017)","plainTextFormattedCitation":"(Ningsih Wiwik Fitria &amp; Rachmawati Ratih, 2017)","previouslyFormattedCitation":"(Ningsih Wiwik Fitria &amp; Rachmawati Ratih, 2017)"},"properties":{"noteIndex":0},"schema":"https://github.com/citation-style-language/schema/raw/master/csl-citation.json"}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Ningsih Wiwik Fitria &amp; Rachmawati Ratih, (2017) </w:t>
      </w:r>
      <w:r>
        <w:rPr>
          <w:rFonts w:ascii="Times New Roman" w:hAnsi="Times New Roman"/>
          <w:bCs/>
          <w:sz w:val="24"/>
          <w:szCs w:val="24"/>
          <w:lang w:val="id-ID"/>
        </w:rPr>
        <w:fldChar w:fldCharType="end"/>
      </w:r>
      <w:r>
        <w:rPr>
          <w:rFonts w:ascii="Times New Roman" w:hAnsi="Times New Roman"/>
          <w:bCs/>
          <w:sz w:val="24"/>
          <w:szCs w:val="24"/>
          <w:lang w:val="id-ID"/>
        </w:rPr>
        <w:t>added that environmental management accounting is used by companies to measure the effectiveness of resource use for environmental protection activities. Apart from influencing the effectiveness of cost use, this is also a form of preventive action and avoidance of the company's impact on the environment.</w:t>
      </w:r>
    </w:p>
    <w:p w14:paraId="430BD2D3" w14:textId="77777777" w:rsidR="00852C70" w:rsidRDefault="000A1714">
      <w:pPr>
        <w:widowControl w:val="0"/>
        <w:autoSpaceDE w:val="0"/>
        <w:autoSpaceDN w:val="0"/>
        <w:adjustRightInd w:val="0"/>
        <w:spacing w:after="0" w:line="240" w:lineRule="auto"/>
        <w:ind w:left="101" w:right="86" w:firstLine="619"/>
        <w:jc w:val="both"/>
        <w:rPr>
          <w:rFonts w:ascii="Times New Roman" w:hAnsi="Times New Roman"/>
          <w:bCs/>
          <w:sz w:val="24"/>
          <w:szCs w:val="24"/>
          <w:lang w:val="id-ID"/>
        </w:rPr>
      </w:pPr>
      <w:r>
        <w:rPr>
          <w:rFonts w:ascii="Times New Roman" w:hAnsi="Times New Roman"/>
          <w:bCs/>
          <w:sz w:val="24"/>
          <w:szCs w:val="24"/>
          <w:lang w:val="id-ID"/>
        </w:rPr>
        <w:t xml:space="preserve">The information presented in the application of environmental management accounting is the disclosure </w:t>
      </w:r>
      <w:r>
        <w:rPr>
          <w:rFonts w:ascii="Times New Roman" w:hAnsi="Times New Roman"/>
          <w:bCs/>
          <w:i/>
          <w:sz w:val="24"/>
          <w:szCs w:val="24"/>
          <w:lang w:val="id-ID"/>
        </w:rPr>
        <w:t xml:space="preserve">of </w:t>
      </w:r>
      <w:r>
        <w:rPr>
          <w:rFonts w:ascii="Times New Roman" w:hAnsi="Times New Roman"/>
          <w:bCs/>
          <w:sz w:val="24"/>
          <w:szCs w:val="24"/>
          <w:lang w:val="id-ID"/>
        </w:rPr>
        <w:t xml:space="preserve">physical information on the use, flow and final destination of resources, water and raw materials including waste. Other information presented is related to financial information such as environmental costs, profits and savings. Environmental management accounting </w:t>
      </w:r>
      <w:r>
        <w:rPr>
          <w:rFonts w:ascii="Times New Roman" w:hAnsi="Times New Roman"/>
          <w:bCs/>
          <w:sz w:val="24"/>
          <w:szCs w:val="24"/>
        </w:rPr>
        <w:t xml:space="preserve">practices </w:t>
      </w:r>
      <w:r>
        <w:rPr>
          <w:rFonts w:ascii="Times New Roman" w:hAnsi="Times New Roman"/>
          <w:bCs/>
          <w:sz w:val="24"/>
          <w:szCs w:val="24"/>
          <w:lang w:val="id-ID"/>
        </w:rPr>
        <w:t xml:space="preserve">play an important role because they can support better operating procedures.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{"citationItems":[{"id":"ITEM-1","itemData":{"DOI":"10.1108/BPMJ-06-2020-0264","ISSN":"14637154","abstract":"Purpose: This study aims to determine (1) the effect of environmental management accounting on organizational performance and (2) the mediating effect of process innovation on the relationship between environmental management accounting and organizational performance. Design/methodology/approach: This research uses survey methods designed for management accountants of large manufacturing companies in Indonesia. Data from 123 respondents were analyzed using the WarpPLS. Findings: The implementation of environmental management accounting exerted a positive effect on organizational performance. It is evident that the implementation of environmental management accounting encourages companies to innovate processes which will improve how well the organization performs. Research limitations/implications: These findings still contained several limitations such as data were only collected from one province in Indonesia, and so the findings might not be generalizable to other provinces in Indonesia. Also, the number of variables studied only involved three. The study only focused on certain dimensions of environmental management accounting without considering other dimensions in-depth. Practical implications: These findings extend the literature on environmental management accounting and demonstrate, from a practical perspective, environmental management accounting (EMA), which prioritizes the environment, will encourage companies to innovate their processes so that they are more environmentally friendly; EMA recognizes the important role of accountants in managing environmental issues. Originality/value: This study documents the importance of environmental management accounting to assist companies in getting accurate information on environmental issues and environmental costs.","author":[{"dropping-particle":"","family":"Sari","given":"Ria Nelly","non-dropping-particle":"","parse-names":false,"suffix":""},{"dropping-particle":"","family":"Pratadina","given":"Aura","non-dropping-particle":"","parse-names":false,"suffix":""},{"dropping-particle":"","family":"Anugerah","given":"Rita","non-dropping-particle":"","parse-names":false,"suffix":""},{"dropping-particle":"","family":"Kamaliah","given":"Kamaliah","non-dropping-particle":"","parse-names":false,"suffix":""},{"dropping-particle":"","family":"Sanusi","given":"Zuraidah Mohd","non-dropping-particle":"","parse-names":false,"suffix":""}],"container-title":"Business Process Management Journal","id":"ITEM-1","issued":{"date-parts":[["2020"]]},"title":"Effect of environmental management accounting practices on organizational performance: role of process innovation as a mediating variable","type":"article-journal"},"uris":["http://www.mendeley.com/documents/?uuid=b08c9cc0-e22c-4cf5-8519-c9532beb2c79"]}],"mendeley":{"formattedCitation":"(Sari et al., 2020)","plainTextFormattedCitation":"(Sari et al., 2020)","previouslyFormattedCitation":"(Sari et al., 2020)"},"properties":{"noteIndex":0},"schema":"https://github.com/citation-style-language/schema/raw/master/csl-citation.json"}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(Sari et al., 2020)</w:t>
      </w:r>
      <w:r>
        <w:rPr>
          <w:rFonts w:ascii="Times New Roman" w:hAnsi="Times New Roman"/>
          <w:bCs/>
          <w:sz w:val="24"/>
          <w:szCs w:val="24"/>
          <w:lang w:val="id-ID"/>
        </w:rPr>
        <w:fldChar w:fldCharType="end"/>
      </w:r>
    </w:p>
    <w:p w14:paraId="37A3D17A" w14:textId="77777777" w:rsidR="00852C70" w:rsidRDefault="000A1714">
      <w:pPr>
        <w:widowControl w:val="0"/>
        <w:autoSpaceDE w:val="0"/>
        <w:autoSpaceDN w:val="0"/>
        <w:adjustRightInd w:val="0"/>
        <w:spacing w:after="0" w:line="240" w:lineRule="auto"/>
        <w:ind w:left="101" w:right="86" w:firstLine="619"/>
        <w:jc w:val="both"/>
        <w:rPr>
          <w:rFonts w:ascii="Times New Roman" w:hAnsi="Times New Roman"/>
          <w:sz w:val="24"/>
          <w:szCs w:val="24"/>
          <w:lang w:val="id-ID"/>
        </w:rPr>
      </w:pPr>
      <w:r>
        <w:rPr>
          <w:rFonts w:ascii="Times New Roman" w:hAnsi="Times New Roman"/>
          <w:bCs/>
          <w:sz w:val="24"/>
          <w:szCs w:val="24"/>
          <w:lang w:val="id-ID"/>
        </w:rPr>
        <w:t>Practice</w:t>
      </w:r>
      <w:r>
        <w:rPr>
          <w:rFonts w:ascii="Times New Roman" w:hAnsi="Times New Roman"/>
          <w:b/>
          <w:bCs/>
          <w:sz w:val="24"/>
          <w:szCs w:val="24"/>
          <w:lang w:val="id-ID"/>
        </w:rPr>
        <w:t xml:space="preserve"> </w:t>
      </w:r>
      <w:r>
        <w:rPr>
          <w:rFonts w:ascii="Times New Roman" w:hAnsi="Times New Roman"/>
          <w:bCs/>
          <w:sz w:val="24"/>
          <w:szCs w:val="24"/>
          <w:lang w:val="id-ID"/>
        </w:rPr>
        <w:t xml:space="preserve">environmental management accounting or </w:t>
      </w:r>
      <w:r>
        <w:rPr>
          <w:rFonts w:ascii="Times New Roman" w:hAnsi="Times New Roman"/>
          <w:i/>
          <w:sz w:val="24"/>
          <w:szCs w:val="24"/>
          <w:lang w:val="id-ID"/>
        </w:rPr>
        <w:t>Environmental Management Accounting</w:t>
      </w:r>
      <w:r>
        <w:rPr>
          <w:rFonts w:ascii="Times New Roman" w:hAnsi="Times New Roman"/>
          <w:sz w:val="24"/>
          <w:szCs w:val="24"/>
          <w:lang w:val="id-ID"/>
        </w:rPr>
        <w:t xml:space="preserve"> </w:t>
      </w:r>
      <w:r>
        <w:rPr>
          <w:rFonts w:ascii="Times New Roman" w:hAnsi="Times New Roman"/>
          <w:i/>
          <w:sz w:val="24"/>
          <w:szCs w:val="24"/>
          <w:lang w:val="id-ID"/>
        </w:rPr>
        <w:t xml:space="preserve">Practice </w:t>
      </w:r>
      <w:r>
        <w:rPr>
          <w:rFonts w:ascii="Times New Roman" w:hAnsi="Times New Roman"/>
          <w:sz w:val="24"/>
          <w:szCs w:val="24"/>
          <w:lang w:val="id-ID"/>
        </w:rPr>
        <w:t xml:space="preserve">(EMAP) supports information related to the environment that companies, especially manufacturing types, can use in improving and evaluating company performance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2019)","plainTextFormattedCitation":"(Mohd Fuzi et al., 2019)","previouslyFormattedCitation":"(Mohd Fuzi et al., 2019)"},"properties":{"noteIndex":0},"schema":"https://github.com/citation-style-language/schema/raw/master/csl-citation.json"}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(Mohd Fuzi et al., 2019) </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rPr>
        <w:t xml:space="preserve">The construct </w:t>
      </w:r>
      <w:r>
        <w:rPr>
          <w:rFonts w:ascii="Times New Roman" w:hAnsi="Times New Roman"/>
          <w:sz w:val="24"/>
          <w:szCs w:val="24"/>
          <w:lang w:val="id-ID"/>
        </w:rPr>
        <w:t xml:space="preserve">of environmental management accounting practices is summarized by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2019)","manualFormatting":"Mohd Fuzi et al., (2019)","plainTextFormattedCitation":"(Mohd Fuzi et al., 2019)","previouslyFormattedCitation":"(Mohd Fuzi et al., 2019)"},"properties":{"noteIndex":0},"schema":"https://github.com/citation-style-language/schema/raw/master/csl-citation.json"}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Mohd Fuzi et al., (2019) </w:t>
      </w:r>
      <w:r>
        <w:rPr>
          <w:rFonts w:ascii="Times New Roman" w:hAnsi="Times New Roman"/>
          <w:sz w:val="24"/>
          <w:szCs w:val="24"/>
          <w:lang w:val="id-ID"/>
        </w:rPr>
        <w:fldChar w:fldCharType="end"/>
      </w:r>
      <w:r>
        <w:rPr>
          <w:rFonts w:ascii="Times New Roman" w:hAnsi="Times New Roman"/>
          <w:sz w:val="24"/>
          <w:szCs w:val="24"/>
          <w:lang w:val="id-ID"/>
        </w:rPr>
        <w:t xml:space="preserve">as: (i) environmental costs, (ii) environmental regulations, (iii) environmental safety, (iv) management commitment, and (v) consumer focus. Even though it has been implemented by manufacturing companies in Indonesia, environmental management accounting practices are considered less effective or require improvement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{"citationItems":[{"id":"ITEM-1","itemData":{"DOI":"10.26740/jaj.v1n2.p190-214","ISSN":"2085-9643","abstract":"AbstractEnvironmental accounting is a term associated with the inclusion of environmental costs into corporate accounting practices.The proportion ofenvironmental costsis20% oftotal  operational costs company. Environmental costsare groupedinenvironmentalmedia, amongothers: (a) water/climate, (b) Wastewater, (c) waste, (d) soil/groundwater, (e) noise/vibration, (f) biodiversity/landscape, (g )radiation. Classification ofenvironmental mediais based onUnitedNationsStatisticsDivisionpublicationentitledIntegratedEnvironmentaland EconomicAccounting. The mediaenvironmentisrepresentedcategoriesof environmentalimpactscausedtonature.","author":[{"dropping-particle":"","family":"Agustia","given":"Dian","non-dropping-particle":"","parse-names":false,"suffix":""}],"container-title":"AKRUAL: Jurnal Akuntansi","id":"ITEM-1","issue":"2","issued":{"date-parts":[["2010"]]},"page":"190","title":"Pelaporan Biaya Lingkungan Sebagai Alat Bantu Bagi Pengambilan Keputusan Yang Berkaitan Dengan Pengelolaan Lingkungan","type":"article-journal","volume":"1"},"uris":["http://www.mendeley.com/documents/?uuid=4d15dbbd-33c3-4b4e-8ee8-b02818fd19ca"]}],"mendeley":{"formattedCitation":"(Agustia, 2010)","plainTextFormattedCitation":"(Agustia, 2010)","previouslyFormattedCitation":"(Agustia, 2010)"},"properties":{"noteIndex":0},"schema":"https://github.com/citation-style-language/schema/raw/master/csl-citation.json"}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(Agustia, 2010) </w:t>
      </w:r>
      <w:r>
        <w:rPr>
          <w:rFonts w:ascii="Times New Roman" w:hAnsi="Times New Roman"/>
          <w:sz w:val="24"/>
          <w:szCs w:val="24"/>
          <w:lang w:val="id-ID"/>
        </w:rPr>
        <w:fldChar w:fldCharType="end"/>
      </w:r>
      <w:r>
        <w:rPr>
          <w:rFonts w:ascii="Times New Roman" w:hAnsi="Times New Roman"/>
          <w:sz w:val="24"/>
          <w:szCs w:val="24"/>
          <w:lang w:val="id-ID"/>
        </w:rPr>
        <w:t>.</w:t>
      </w:r>
    </w:p>
    <w:p w14:paraId="22A81395" w14:textId="77777777" w:rsidR="00852C70" w:rsidRDefault="000A1714">
      <w:pPr>
        <w:widowControl w:val="0"/>
        <w:autoSpaceDE w:val="0"/>
        <w:autoSpaceDN w:val="0"/>
        <w:adjustRightInd w:val="0"/>
        <w:spacing w:after="0" w:line="240" w:lineRule="auto"/>
        <w:ind w:right="86"/>
        <w:jc w:val="both"/>
        <w:rPr>
          <w:rFonts w:ascii="Times New Roman" w:hAnsi="Times New Roman"/>
          <w:sz w:val="24"/>
          <w:szCs w:val="24"/>
        </w:rPr>
      </w:pPr>
      <w:r>
        <w:rPr>
          <w:rFonts w:ascii="Times New Roman" w:hAnsi="Times New Roman"/>
          <w:sz w:val="24"/>
          <w:szCs w:val="24"/>
          <w:lang w:val="id-ID"/>
        </w:rPr>
        <w:tab/>
      </w:r>
    </w:p>
    <w:p w14:paraId="250401F0" w14:textId="77777777" w:rsidR="00852C70" w:rsidRDefault="000A1714">
      <w:pPr>
        <w:widowControl w:val="0"/>
        <w:autoSpaceDE w:val="0"/>
        <w:autoSpaceDN w:val="0"/>
        <w:adjustRightInd w:val="0"/>
        <w:spacing w:after="0" w:line="240" w:lineRule="auto"/>
        <w:ind w:right="86"/>
        <w:jc w:val="both"/>
        <w:rPr>
          <w:rFonts w:ascii="Times New Roman" w:hAnsi="Times New Roman"/>
          <w:b/>
          <w:sz w:val="24"/>
          <w:szCs w:val="24"/>
          <w:lang w:val="id-ID"/>
        </w:rPr>
      </w:pPr>
      <w:r>
        <w:rPr>
          <w:rFonts w:ascii="Times New Roman" w:hAnsi="Times New Roman"/>
          <w:b/>
          <w:sz w:val="24"/>
          <w:szCs w:val="24"/>
          <w:lang w:val="id-ID"/>
        </w:rPr>
        <w:tab/>
        <w:t>Company performance</w:t>
      </w:r>
    </w:p>
    <w:p w14:paraId="25CB209E" w14:textId="77777777" w:rsidR="00852C70" w:rsidRDefault="000A1714">
      <w:pPr>
        <w:widowControl w:val="0"/>
        <w:autoSpaceDE w:val="0"/>
        <w:autoSpaceDN w:val="0"/>
        <w:adjustRightInd w:val="0"/>
        <w:spacing w:after="0" w:line="240" w:lineRule="auto"/>
        <w:ind w:left="101" w:right="86" w:firstLine="619"/>
        <w:jc w:val="both"/>
        <w:rPr>
          <w:rFonts w:ascii="Times New Roman" w:hAnsi="Times New Roman"/>
          <w:bCs/>
          <w:sz w:val="24"/>
          <w:szCs w:val="24"/>
          <w:lang w:val="id-ID"/>
        </w:rPr>
      </w:pPr>
      <w:r>
        <w:rPr>
          <w:rFonts w:ascii="Times New Roman" w:hAnsi="Times New Roman"/>
          <w:bCs/>
          <w:sz w:val="24"/>
          <w:szCs w:val="24"/>
          <w:lang w:val="id-ID"/>
        </w:rPr>
        <w:t xml:space="preserve">Apart from paying attention to environmental impacts, a company will continue to operate if it has good performance.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DOI":"10.1108/ARA-03-2013-0022","author":[{"dropping-particle":"","family":"Zaleha","given":"Siti","non-dropping-particle":"","parse-names":false,"suffix":""},{"dropping-particle":"","family":"Rasid","given":"Abdul","non-dropping-particle":"","parse-names":false,"suffix":""},{"dropping-particle":"","family":"Isa","given":"Che Ruhana","non-dropping-particle":"","parse-names":false,"suffix":""}],"id":"ITEM-1","issued":{"date-parts":[["0"]]},"title":"Management accounting systems , enterprise risk management and organizational performance in financial institutions","type":"article-journal"},"uris":["http://www.mendeley.com/documents/?uuid=e7ef46c7-c7aa-495d-b1a2-3aafe026604d"]}],"mendeley":{"formattedCitation":"(Zaleha et al., n.d.)","manualFormatting":"Zaleha, Rasid, &amp; Isa, n.d., (2014)","plainTextFormattedCitation":"(Zaleha et al., n.d.)","previouslyFormattedCitation":"(Zaleha et al., n.d.)"},"properties":{"noteIndex":0},"schema":"https://github.com/citation-style-language/schema/raw/master/csl-citation.json"}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Zaleha, Rasid, &amp; Isa, nd, (2014) </w:t>
      </w:r>
      <w:r>
        <w:rPr>
          <w:rFonts w:ascii="Times New Roman" w:hAnsi="Times New Roman"/>
          <w:bCs/>
          <w:sz w:val="24"/>
          <w:szCs w:val="24"/>
          <w:lang w:val="id-ID"/>
        </w:rPr>
        <w:fldChar w:fldCharType="end"/>
      </w:r>
      <w:r>
        <w:rPr>
          <w:rFonts w:ascii="Times New Roman" w:hAnsi="Times New Roman"/>
          <w:bCs/>
          <w:sz w:val="24"/>
          <w:szCs w:val="24"/>
          <w:lang w:val="id-ID"/>
        </w:rPr>
        <w:t xml:space="preserve">stated that company performance or </w:t>
      </w:r>
      <w:r>
        <w:rPr>
          <w:rFonts w:ascii="Times New Roman" w:hAnsi="Times New Roman"/>
          <w:bCs/>
          <w:i/>
          <w:sz w:val="24"/>
          <w:szCs w:val="24"/>
          <w:lang w:val="id-ID"/>
        </w:rPr>
        <w:t xml:space="preserve">organizational performance </w:t>
      </w:r>
      <w:r>
        <w:rPr>
          <w:rFonts w:ascii="Times New Roman" w:hAnsi="Times New Roman"/>
          <w:bCs/>
          <w:sz w:val="24"/>
          <w:szCs w:val="24"/>
          <w:lang w:val="id-ID"/>
        </w:rPr>
        <w:t xml:space="preserve">(OPM) is a condition where the company can meet predetermined targets. Company performance is not only measured from the financial side, but also from the non-financial side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DOI":"10.1108/BIJ-02-2018-0034","author":[{"dropping-particle":"","family":"Hutahayan","given":"Benny","non-dropping-particle":"","parse-names":false,"suffix":""}],"id":"ITEM-1","issue":"4","issued":{"date-parts":[["2020"]]},"page":"1289-1318","title":"The mediating role of human capital and management accounting information system in the relationship between innovation strategy and internal process performance and the impact on corporate financial performance","type":"article-journal","volume":"27"},"uris":["http://www.mendeley.com/documents/?uuid=94c94c8a-6753-4be9-808a-b723e48e98dd"]}],"mendeley":{"formattedCitation":"(Hutahayan, 2020)","plainTextFormattedCitation":"(Hutahayan, 2020)","previouslyFormattedCitation":"(Hutahayan, 2020)"},"properties":{"noteIndex":0},"schema":"https://github.com/citation-style-language/schema/raw/master/csl-citation.json"}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(Hutahayan, 2020) </w:t>
      </w:r>
      <w:r>
        <w:rPr>
          <w:rFonts w:ascii="Times New Roman" w:hAnsi="Times New Roman"/>
          <w:bCs/>
          <w:sz w:val="24"/>
          <w:szCs w:val="24"/>
          <w:lang w:val="id-ID"/>
        </w:rPr>
        <w:fldChar w:fldCharType="end"/>
      </w:r>
      <w:r>
        <w:rPr>
          <w:rFonts w:ascii="Times New Roman" w:hAnsi="Times New Roman"/>
          <w:bCs/>
          <w:sz w:val="24"/>
          <w:szCs w:val="24"/>
          <w:lang w:val="id-ID"/>
        </w:rPr>
        <w:t xml:space="preserve">. Several studies conducted by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{"citationItems":[{"id":"ITEM-1","itemData":{"DOI":"10.1108/SAMPJ-10-2011-0030","ISSN":"20408021","abstract":"Purpose: This paper aims to examine the antecedent factor, top management's commitment to environmental sustainability, for the adoption of a sophisticated internal environmental information system; measured by the broad-scope, timeliness, aggregation and integration of such information. The paper also seeks to examine whether the availability of such a system would lead to improved environmental performance. Design/methodology/approach: The paper investigates responses from a survey of Chief Financial Officers or chief management accountants in the top 200 listed companies in Australia. It uses linear regression analysis based on a multiple-mediator model with percentile-based bootstrap, bias-corrected (BC) and bias-corrected and accelerated (BCa) bootstrap confidence intervals to identify significant mediators. Findings: It was found in this study that top management commitment to environmental sustainability was associated with the adoption of a sophisticated internal environmental information system. Further, the availability of aggregated environmental information was found to mediate the relationship between top management commitment to environmental sustainability and environmental performance. However, there was no significant relationship to other mediating variables. Research limitations/implications: Limitations relate to the collinearity of mediators which make it difficult to identify the impact of specific mediators in a multi-mediator model. The implications are that other methods may provide further value, but these may need to be based on either different data or larger samples. Practical implications: The findings point to the importance of aggregated environmental accounting information to organisations aiming to improve their environmental performance. Originality/value: The study contributes to the corporate environmental accounting literature by empirically linking the top management commitment to environmental sustainability and to environmental performance through the adoption of accounting information provisions. The results of this study also provide guidance to practitioners about how to ensure their commitment to environmental sustainability will be translated to environmental performance and to some extent provide some answer to whether countries such as Australia should implement Emission Trading Scheme (ETS) to account for carbon costs. © Emerald Group Publishing Limited.","author":[{"dropping-particle":"","family":"Spencer","given":"Sarah Yang","non-dropping-particle":"","parse-names":false,"suffix":""},{"dropping-particle":"","family":"Adams","given":"Carol","non-dropping-particle":"","parse-names":false,"suffix":""},{"dropping-particle":"","family":"Yapa","given":"Prem W.S.","non-dropping-particle":"","parse-names":false,"suffix":""}],"container-title":"Sustainability Accounting, Management and Policy Journal","id":"ITEM-1","issue":"1","issued":{"date-parts":[["2013"]]},"page":"75-102","title":"The mediating effects of the adoption of an environmental information system on top management's commitment and environmental performance","type":"article-journal","volume":"4"},"uris":["http://www.mendeley.com/documents/?uuid=94de240c-14b6-478a-9d0f-973785240ef6"]},{"id":"ITEM-2","itemData":{"DOI":"10.1108/IJQRM-11-2017-0234","ISSN":"0265671X","abstract":"Purpose: The purpose of this paper is to determine the relationship between total productive maintenance (TPM), kaizen event (KE) and innovation performance (IP) for Malaysian automotive industry using structural equation modeling (SEM). Design/methodology/approach: The samples were selected from the list of Proton and Perodua automotive industry. The number of collected respondents was 238 respondents. An SEM technique was used in the study. In order to test the reliability and validity of the instrument, reliability analysis, exploratory and confirmatory factor analysis were conducted. Findings: Based on the results, KE does not affect the relationship between TPM and IP. However, the impact of TPM on IP increases with mediating of KE for Malaysian automotive industry. Thus, this study has shown that empirical test results prove that the implementation of TPM and KE has improved the IP for Malaysian automotive industry. Research limitations/implications: This study only focused on the Malaysian automotive industry. The other limitation in this research is the number of factors and limited measurement in this study. Only a few TPM, KE and IP measurements were considered. By using the SEM technique, four TPM constructs, three for KE constructs and three for IP measures were developed and verified. Therefore, this study can assist the researchers and practitioners to the practice of TPM, KE and IP for Malaysian automotive industry. Originality/value: This research provides fundamental knowledge and direction for researchers in further research as well as practitioners to constantly improve IP through the implementation of TPM and KE for Malaysian automotive industry.","author":[{"dropping-particle":"","family":"Habidin","given":"Nurul Fadly","non-dropping-particle":"","parse-names":false,"suffix":""},{"dropping-particle":"","family":"Hashim","given":"Suzaituladwini","non-dropping-particle":"","parse-names":false,"suffix":""},{"dropping-particle":"","family":"Fuzi","given":"Nursyazwani Mohd","non-dropping-particle":"","parse-names":false,"suffix":""},{"dropping-particle":"","family":"Salleh","given":"Mad Ithnin","non-dropping-particle":"","parse-names":false,"suffix":""}],"container-title":"International Journal of Quality and Reliability Management","id":"ITEM-2","issue":"9","issued":{"date-parts":[["2018"]]},"page":"1853-1867","title":"Total productive maintenance, kaizen event, and performance","type":"article-journal","volume":"35"},"uris":["http://www.mendeley.com/documents/?uuid=1e4420e4-7a4a-4178-b06f-ef45a545a854"]},{"id":"ITEM-3","itemData":{"DOI":"10.1108/MBE-12-2018-0109","ISSN":"13683047","abstract":"Purpose: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Excellence","id":"ITEM-3","issue":"4","issued":{"date-parts":[["2019"]]},"page":"411-425","title":"Environmental management accounting practices and organizational performance: the mediating effect of information system","type":"article-journal","volume":"23"},"uris":["http://www.mendeley.com/documents/?uuid=8a2517f4-e9a9-46a1-aa3c-cfbd7297de86"]}],"mendeley":{"formattedCitation":"(Habidin et al., 2018; Mohd Fuzi et al., 2019; Spencer et al., 2013)","manualFormatting":"Habidin et al., (2018); Mohd Fuzi et al., (2019); Spencer, Adams, &amp; Yapa, (2013)","plainTextFormattedCitation":"(Habidin et al., 2018; Mohd Fuzi et al., 2019; Spencer et al., 2013)","previouslyFormattedCitation":"(Habidin et al., 2018; Mohd Fuzi et al., 2019; Spencer et al., 2013)"},"properties":{"noteIndex":0},"schema":"https://github.com/citation-style-language/schema/raw/master/csl-citation.json"}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Habidin et al., (2018); Mohd Fuzi et al., (2019); Spencer, Adams, &amp; Yapa, (2013) </w:t>
      </w:r>
      <w:r>
        <w:rPr>
          <w:rFonts w:ascii="Times New Roman" w:hAnsi="Times New Roman"/>
          <w:bCs/>
          <w:sz w:val="24"/>
          <w:szCs w:val="24"/>
          <w:lang w:val="id-ID"/>
        </w:rPr>
        <w:fldChar w:fldCharType="end"/>
      </w:r>
      <w:r>
        <w:rPr>
          <w:rFonts w:ascii="Times New Roman" w:hAnsi="Times New Roman"/>
          <w:bCs/>
          <w:sz w:val="24"/>
          <w:szCs w:val="24"/>
          <w:lang w:val="id-ID"/>
        </w:rPr>
        <w:t xml:space="preserve">use operational dimensions as the non-financial and financial side to measure company performance. In manufacturing companies, financial dimensions are used to measure and evaluate the company's financial problems. On the other hand, the operational dimension is very important as a basis for measuring production, costs and manufacturing processes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2019)","plainTextFormattedCitation":"(Mohd Fuzi et al., 2019)","previouslyFormattedCitation":"(Mohd Fuzi et al., 2019)"},"properties":{"noteIndex":0},"schema":"https://github.com/citation-style-language/schema/raw/master/csl-citation.json"}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(Mohd Fuzi et al., 2019) </w:t>
      </w:r>
      <w:r>
        <w:rPr>
          <w:rFonts w:ascii="Times New Roman" w:hAnsi="Times New Roman"/>
          <w:bCs/>
          <w:sz w:val="24"/>
          <w:szCs w:val="24"/>
          <w:lang w:val="id-ID"/>
        </w:rPr>
        <w:fldChar w:fldCharType="end"/>
      </w:r>
      <w:r>
        <w:rPr>
          <w:rFonts w:ascii="Times New Roman" w:hAnsi="Times New Roman"/>
          <w:bCs/>
          <w:sz w:val="24"/>
          <w:szCs w:val="24"/>
          <w:lang w:val="id-ID"/>
        </w:rPr>
        <w:t>.</w:t>
      </w:r>
    </w:p>
    <w:p w14:paraId="7CAF0B5C" w14:textId="77777777" w:rsidR="00852C70" w:rsidRDefault="00852C70">
      <w:pPr>
        <w:widowControl w:val="0"/>
        <w:autoSpaceDE w:val="0"/>
        <w:autoSpaceDN w:val="0"/>
        <w:adjustRightInd w:val="0"/>
        <w:spacing w:after="0" w:line="240" w:lineRule="auto"/>
        <w:ind w:right="86"/>
        <w:jc w:val="both"/>
        <w:rPr>
          <w:rFonts w:ascii="Times New Roman" w:hAnsi="Times New Roman"/>
          <w:b/>
          <w:bCs/>
          <w:sz w:val="24"/>
          <w:szCs w:val="24"/>
          <w:lang w:val="id-ID"/>
        </w:rPr>
      </w:pPr>
    </w:p>
    <w:p w14:paraId="6253D0F1" w14:textId="77777777" w:rsidR="00852C70" w:rsidRDefault="000A1714">
      <w:pPr>
        <w:widowControl w:val="0"/>
        <w:autoSpaceDE w:val="0"/>
        <w:autoSpaceDN w:val="0"/>
        <w:adjustRightInd w:val="0"/>
        <w:spacing w:after="0" w:line="240" w:lineRule="auto"/>
        <w:ind w:left="101" w:right="86" w:firstLine="619"/>
        <w:jc w:val="both"/>
        <w:rPr>
          <w:rFonts w:ascii="Times New Roman" w:hAnsi="Times New Roman"/>
          <w:b/>
          <w:bCs/>
          <w:sz w:val="24"/>
          <w:szCs w:val="24"/>
          <w:lang w:val="id-ID"/>
        </w:rPr>
      </w:pPr>
      <w:r>
        <w:rPr>
          <w:rFonts w:ascii="Times New Roman" w:hAnsi="Times New Roman"/>
          <w:b/>
          <w:bCs/>
          <w:sz w:val="24"/>
          <w:szCs w:val="24"/>
          <w:lang w:val="id-ID"/>
        </w:rPr>
        <w:t>Information Systems</w:t>
      </w:r>
    </w:p>
    <w:p w14:paraId="44838597" w14:textId="77777777" w:rsidR="00852C70" w:rsidRDefault="000A1714">
      <w:pPr>
        <w:widowControl w:val="0"/>
        <w:autoSpaceDE w:val="0"/>
        <w:autoSpaceDN w:val="0"/>
        <w:adjustRightInd w:val="0"/>
        <w:spacing w:after="0" w:line="240" w:lineRule="auto"/>
        <w:ind w:left="101" w:right="86" w:firstLine="619"/>
        <w:jc w:val="both"/>
        <w:rPr>
          <w:rFonts w:ascii="Times New Roman" w:hAnsi="Times New Roman"/>
          <w:bCs/>
          <w:sz w:val="24"/>
          <w:szCs w:val="24"/>
        </w:rPr>
      </w:pPr>
      <w:r>
        <w:rPr>
          <w:rFonts w:ascii="Times New Roman" w:hAnsi="Times New Roman"/>
          <w:bCs/>
          <w:sz w:val="24"/>
          <w:szCs w:val="24"/>
          <w:lang w:val="id-ID"/>
        </w:rPr>
        <w:t xml:space="preserve">Information systems or </w:t>
      </w:r>
      <w:r>
        <w:rPr>
          <w:rFonts w:ascii="Times New Roman" w:hAnsi="Times New Roman"/>
          <w:bCs/>
          <w:i/>
          <w:sz w:val="24"/>
          <w:szCs w:val="24"/>
          <w:lang w:val="id-ID"/>
        </w:rPr>
        <w:t xml:space="preserve">information systems </w:t>
      </w:r>
      <w:r>
        <w:rPr>
          <w:rFonts w:ascii="Times New Roman" w:hAnsi="Times New Roman"/>
          <w:bCs/>
          <w:sz w:val="24"/>
          <w:szCs w:val="24"/>
          <w:lang w:val="id-ID"/>
        </w:rPr>
        <w:t>(IS) are systems applied to companies that carry out data processing activities to produce output in the form of information that can be used for internal and external purposes.</w:t>
      </w:r>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2019)","plainTextFormattedCitation":"(Mohd Fuzi et al., 2019)","previouslyFormattedCitation":"(Mohd Fuzi et al., 2019)"},"properties":{"noteIndex":0},"schema":"https://github.com/citation-style-language/schema/raw/master/csl-citation.json"}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(Mohd Fuzi et al., 2019) </w:t>
      </w:r>
      <w:r>
        <w:rPr>
          <w:rFonts w:ascii="Times New Roman" w:hAnsi="Times New Roman"/>
          <w:bCs/>
          <w:sz w:val="24"/>
          <w:szCs w:val="24"/>
        </w:rPr>
        <w:fldChar w:fldCharType="end"/>
      </w:r>
      <w:r>
        <w:rPr>
          <w:rFonts w:ascii="Times New Roman" w:hAnsi="Times New Roman"/>
          <w:bCs/>
          <w:sz w:val="24"/>
          <w:szCs w:val="24"/>
          <w:lang w:val="id-ID"/>
        </w:rPr>
        <w:t xml:space="preserve">. The output from the use of information systems in manufacturing companies is very important because it plays a role in planning, controlling, evaluating and continuous improvement so that the company can </w:t>
      </w:r>
      <w:r>
        <w:rPr>
          <w:rFonts w:ascii="Times New Roman" w:hAnsi="Times New Roman"/>
          <w:bCs/>
          <w:sz w:val="24"/>
          <w:szCs w:val="24"/>
          <w:lang w:val="id-ID"/>
        </w:rPr>
        <w:lastRenderedPageBreak/>
        <w:t xml:space="preserve">continue to develop and </w:t>
      </w:r>
      <w:r>
        <w:rPr>
          <w:rFonts w:ascii="Times New Roman" w:hAnsi="Times New Roman"/>
          <w:bCs/>
          <w:i/>
          <w:sz w:val="24"/>
          <w:szCs w:val="24"/>
          <w:lang w:val="id-ID"/>
        </w:rPr>
        <w:t>sustain itself.</w:t>
      </w:r>
      <w:r>
        <w:rPr>
          <w:rFonts w:ascii="Times New Roman" w:hAnsi="Times New Roman"/>
          <w:bCs/>
          <w:sz w:val="24"/>
          <w:szCs w:val="24"/>
          <w:lang w:val="id-ID"/>
        </w:rPr>
        <w:t xml:space="preserve">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{"citationItems":[{"id":"ITEM-1","itemData":{"ISSN":"2580-1007","abstract":"Sistem informasi adalah suatu sistem didalam suatu organisasi yang mempertemukan kebutuhan pengelolaan transaksi harian, mendukung operasi, yang bersifat manajerial, dan kegiatan strategi dari suatu organisasi dan meyediakan pihak luar tertentu dengan laporan-laporan yang dibutuhkan","author":[{"dropping-particle":"","family":"Sutabri","given":"Tata","non-dropping-particle":"","parse-names":false,"suffix":""}],"container-title":"Jurnal Administrasi Pendidikan UPI","id":"ITEM-1","issue":"1","issued":{"date-parts":[["2012"]]},"page":"248","title":"Konsep Sistem Informasi","type":"article-journal","volume":"3"},"uris":["http://www.mendeley.com/documents/?uuid=da64b52e-33fa-44c0-89d5-44d8e79f2d6d"]}],"mendeley":{"formattedCitation":"(Sutabri, 2012)","plainTextFormattedCitation":"(Sutabri, 2012)","previouslyFormattedCitation":"(Sutabri, 2012)"},"properties":{"noteIndex":0},"schema":"https://github.com/citation-style-language/schema/raw/master/csl-citation.json"}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(Sutabri, 2012) </w:t>
      </w:r>
      <w:r>
        <w:rPr>
          <w:rFonts w:ascii="Times New Roman" w:hAnsi="Times New Roman"/>
          <w:bCs/>
          <w:sz w:val="24"/>
          <w:szCs w:val="24"/>
          <w:lang w:val="id-ID"/>
        </w:rPr>
        <w:fldChar w:fldCharType="end"/>
      </w:r>
      <w:r>
        <w:rPr>
          <w:rFonts w:ascii="Times New Roman" w:hAnsi="Times New Roman"/>
          <w:bCs/>
          <w:sz w:val="24"/>
          <w:szCs w:val="24"/>
          <w:lang w:val="id-ID"/>
        </w:rPr>
        <w:t>. In manufacturing companies, information systems also play a role in managing resource information related to the environment.</w:t>
      </w:r>
    </w:p>
    <w:p w14:paraId="04A8DC1C" w14:textId="77777777" w:rsidR="00852C70" w:rsidRDefault="00852C70">
      <w:pPr>
        <w:widowControl w:val="0"/>
        <w:autoSpaceDE w:val="0"/>
        <w:autoSpaceDN w:val="0"/>
        <w:adjustRightInd w:val="0"/>
        <w:spacing w:after="0" w:line="240" w:lineRule="auto"/>
        <w:ind w:left="101" w:right="86" w:firstLine="619"/>
        <w:jc w:val="both"/>
        <w:rPr>
          <w:rFonts w:ascii="Times New Roman" w:hAnsi="Times New Roman"/>
          <w:bCs/>
          <w:sz w:val="24"/>
          <w:szCs w:val="24"/>
        </w:rPr>
      </w:pPr>
    </w:p>
    <w:p w14:paraId="5D10C103" w14:textId="77777777" w:rsidR="00852C70" w:rsidRDefault="000A1714">
      <w:pPr>
        <w:widowControl w:val="0"/>
        <w:autoSpaceDE w:val="0"/>
        <w:autoSpaceDN w:val="0"/>
        <w:adjustRightInd w:val="0"/>
        <w:spacing w:after="0" w:line="240" w:lineRule="auto"/>
        <w:ind w:left="101" w:right="86" w:firstLine="619"/>
        <w:jc w:val="center"/>
        <w:rPr>
          <w:rFonts w:ascii="Times New Roman" w:hAnsi="Times New Roman"/>
          <w:bCs/>
          <w:sz w:val="24"/>
          <w:szCs w:val="24"/>
        </w:rPr>
      </w:pPr>
      <w:r>
        <w:rPr>
          <w:rFonts w:ascii="Times New Roman" w:hAnsi="Times New Roman"/>
          <w:bCs/>
          <w:noProof/>
          <w:sz w:val="24"/>
          <w:szCs w:val="24"/>
          <w:lang w:val="id-ID"/>
        </w:rPr>
        <w:drawing>
          <wp:inline distT="0" distB="0" distL="0" distR="0" wp14:anchorId="6304CD9C" wp14:editId="2A97C02F">
            <wp:extent cx="3543300" cy="2247900"/>
            <wp:effectExtent l="0" t="0" r="0"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3543300" cy="2247900"/>
                    </a:xfrm>
                    <a:prstGeom prst="rect">
                      <a:avLst/>
                    </a:prstGeom>
                    <a:ln>
                      <a:noFill/>
                    </a:ln>
                  </pic:spPr>
                </pic:pic>
              </a:graphicData>
            </a:graphic>
          </wp:inline>
        </w:drawing>
      </w:r>
    </w:p>
    <w:p w14:paraId="66C97BAF" w14:textId="77777777" w:rsidR="00852C70" w:rsidRDefault="000A1714">
      <w:pPr>
        <w:widowControl w:val="0"/>
        <w:autoSpaceDE w:val="0"/>
        <w:autoSpaceDN w:val="0"/>
        <w:adjustRightInd w:val="0"/>
        <w:spacing w:after="0" w:line="240" w:lineRule="auto"/>
        <w:ind w:left="101" w:right="86" w:firstLine="619"/>
        <w:jc w:val="center"/>
        <w:rPr>
          <w:rFonts w:ascii="Times New Roman" w:hAnsi="Times New Roman"/>
          <w:bCs/>
          <w:sz w:val="24"/>
          <w:szCs w:val="24"/>
          <w:lang w:val="id-ID"/>
        </w:rPr>
      </w:pPr>
      <w:r>
        <w:rPr>
          <w:rFonts w:ascii="Times New Roman" w:hAnsi="Times New Roman"/>
          <w:b/>
          <w:bCs/>
          <w:sz w:val="24"/>
          <w:szCs w:val="24"/>
          <w:lang w:val="id-ID"/>
        </w:rPr>
        <w:t xml:space="preserve">Figure 1 </w:t>
      </w:r>
      <w:r>
        <w:rPr>
          <w:rFonts w:ascii="Times New Roman" w:hAnsi="Times New Roman"/>
          <w:bCs/>
          <w:sz w:val="24"/>
          <w:szCs w:val="24"/>
          <w:lang w:val="id-ID"/>
        </w:rPr>
        <w:t>: General model of information systems</w:t>
      </w:r>
    </w:p>
    <w:p w14:paraId="5A9AE27B" w14:textId="77777777" w:rsidR="00852C70" w:rsidRDefault="000A1714">
      <w:pPr>
        <w:widowControl w:val="0"/>
        <w:autoSpaceDE w:val="0"/>
        <w:autoSpaceDN w:val="0"/>
        <w:adjustRightInd w:val="0"/>
        <w:spacing w:after="0" w:line="240" w:lineRule="auto"/>
        <w:ind w:left="101" w:right="86" w:firstLine="619"/>
        <w:jc w:val="center"/>
        <w:rPr>
          <w:rFonts w:ascii="Times New Roman" w:hAnsi="Times New Roman"/>
          <w:bCs/>
          <w:sz w:val="24"/>
          <w:szCs w:val="24"/>
          <w:lang w:val="id-ID"/>
        </w:rPr>
      </w:pPr>
      <w:r>
        <w:rPr>
          <w:rFonts w:ascii="Times New Roman" w:hAnsi="Times New Roman"/>
          <w:bCs/>
          <w:sz w:val="24"/>
          <w:szCs w:val="24"/>
          <w:lang w:val="id-ID"/>
        </w:rPr>
        <w:t xml:space="preserve">( </w:t>
      </w:r>
      <w:hyperlink r:id="rId11" w:history="1">
        <w:r>
          <w:rPr>
            <w:rStyle w:val="Hyperlink"/>
          </w:rPr>
          <w:t xml:space="preserve">https://www.researchgate.net/figure/General-Model-for-Accounting-Information-Systems-Data-Resources-These-are-data_fig1_254014898 </w:t>
        </w:r>
      </w:hyperlink>
      <w:r>
        <w:rPr>
          <w:lang w:val="id-ID"/>
        </w:rPr>
        <w:t>)</w:t>
      </w:r>
    </w:p>
    <w:p w14:paraId="02EF76D5" w14:textId="77777777" w:rsidR="00852C70" w:rsidRDefault="00852C70">
      <w:pPr>
        <w:widowControl w:val="0"/>
        <w:autoSpaceDE w:val="0"/>
        <w:autoSpaceDN w:val="0"/>
        <w:adjustRightInd w:val="0"/>
        <w:spacing w:after="0" w:line="240" w:lineRule="auto"/>
        <w:ind w:left="101" w:right="86" w:firstLine="619"/>
        <w:jc w:val="both"/>
        <w:rPr>
          <w:rFonts w:ascii="Times New Roman" w:hAnsi="Times New Roman"/>
          <w:bCs/>
          <w:sz w:val="24"/>
          <w:szCs w:val="24"/>
        </w:rPr>
      </w:pPr>
    </w:p>
    <w:p w14:paraId="37AE7D4E" w14:textId="77777777" w:rsidR="00852C70" w:rsidRDefault="000A1714">
      <w:pPr>
        <w:widowControl w:val="0"/>
        <w:autoSpaceDE w:val="0"/>
        <w:autoSpaceDN w:val="0"/>
        <w:adjustRightInd w:val="0"/>
        <w:spacing w:after="0" w:line="240" w:lineRule="auto"/>
        <w:ind w:left="101" w:right="86" w:firstLine="619"/>
        <w:jc w:val="both"/>
        <w:rPr>
          <w:rFonts w:ascii="Times New Roman" w:hAnsi="Times New Roman"/>
          <w:bCs/>
          <w:sz w:val="24"/>
          <w:szCs w:val="24"/>
        </w:rPr>
      </w:pPr>
      <w:r>
        <w:rPr>
          <w:rFonts w:ascii="Times New Roman" w:hAnsi="Times New Roman"/>
          <w:bCs/>
          <w:sz w:val="24"/>
          <w:szCs w:val="24"/>
          <w:lang w:val="id-ID"/>
        </w:rPr>
        <w:t xml:space="preserve">The application of information systems in the environmental management of manufacturing companies is an unavoidable need considering how fast information related to the environment is developing. The dimensions used in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2019)","manualFormatting":"Mohd Fuzi et al., (2019)","plainTextFormattedCitation":"(Mohd Fuzi et al., 2019)","previouslyFormattedCitation":"(Mohd Fuzi et al., 2019)"},"properties":{"noteIndex":0},"schema":"https://github.com/citation-style-language/schema/raw/master/csl-citation.json"}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Mohd Fuzi et al., (2019)' s research </w:t>
      </w:r>
      <w:r>
        <w:rPr>
          <w:rFonts w:ascii="Times New Roman" w:hAnsi="Times New Roman"/>
          <w:bCs/>
          <w:sz w:val="24"/>
          <w:szCs w:val="24"/>
          <w:lang w:val="id-ID"/>
        </w:rPr>
        <w:fldChar w:fldCharType="end"/>
      </w:r>
      <w:r>
        <w:rPr>
          <w:rFonts w:ascii="Times New Roman" w:hAnsi="Times New Roman"/>
          <w:bCs/>
          <w:sz w:val="24"/>
          <w:szCs w:val="24"/>
          <w:lang w:val="id-ID"/>
        </w:rPr>
        <w:t>regarding information system connecting variables are technology and process. The use of information systems is expected to be implemented as a tool to increase the efficiency and effectiveness of environmental management accounting practices which are considered to have been implemented but are less effective as seen from the large amount of uncontrolled environmental pollution caused by the manufacturing industry in Indonesia.</w:t>
      </w:r>
    </w:p>
    <w:p w14:paraId="3C09EE75" w14:textId="77777777" w:rsidR="00852C70" w:rsidRDefault="00852C70">
      <w:pPr>
        <w:widowControl w:val="0"/>
        <w:autoSpaceDE w:val="0"/>
        <w:autoSpaceDN w:val="0"/>
        <w:adjustRightInd w:val="0"/>
        <w:spacing w:after="0" w:line="240" w:lineRule="auto"/>
        <w:ind w:left="101"/>
        <w:rPr>
          <w:rFonts w:ascii="Times New Roman" w:hAnsi="Times New Roman"/>
          <w:b/>
          <w:bCs/>
          <w:sz w:val="24"/>
          <w:szCs w:val="24"/>
        </w:rPr>
      </w:pPr>
    </w:p>
    <w:p w14:paraId="640DD62B" w14:textId="091D6637" w:rsidR="00852C70" w:rsidRDefault="000A1714">
      <w:pPr>
        <w:widowControl w:val="0"/>
        <w:autoSpaceDE w:val="0"/>
        <w:autoSpaceDN w:val="0"/>
        <w:adjustRightInd w:val="0"/>
        <w:spacing w:after="0" w:line="240" w:lineRule="auto"/>
        <w:ind w:left="101"/>
        <w:rPr>
          <w:rFonts w:ascii="Times New Roman" w:hAnsi="Times New Roman"/>
          <w:b/>
          <w:bCs/>
          <w:sz w:val="24"/>
          <w:szCs w:val="24"/>
          <w:lang w:val="id-ID"/>
        </w:rPr>
      </w:pPr>
      <w:r>
        <w:rPr>
          <w:rFonts w:ascii="Times New Roman" w:hAnsi="Times New Roman"/>
          <w:b/>
          <w:bCs/>
          <w:sz w:val="24"/>
          <w:szCs w:val="24"/>
          <w:lang w:val="id-ID"/>
        </w:rPr>
        <w:t xml:space="preserve">2.2. </w:t>
      </w:r>
      <w:r>
        <w:rPr>
          <w:rFonts w:ascii="Times New Roman" w:hAnsi="Times New Roman"/>
          <w:b/>
          <w:bCs/>
          <w:sz w:val="24"/>
          <w:szCs w:val="24"/>
          <w:lang w:val="id-ID"/>
        </w:rPr>
        <w:tab/>
      </w:r>
      <w:proofErr w:type="spellStart"/>
      <w:r>
        <w:rPr>
          <w:rFonts w:ascii="Times New Roman" w:hAnsi="Times New Roman"/>
          <w:b/>
          <w:bCs/>
          <w:sz w:val="24"/>
          <w:szCs w:val="24"/>
          <w:lang w:val="id-ID"/>
        </w:rPr>
        <w:t>Hypothesis</w:t>
      </w:r>
      <w:proofErr w:type="spellEnd"/>
    </w:p>
    <w:p w14:paraId="01DE1D65" w14:textId="77777777" w:rsidR="00852C70" w:rsidRDefault="000A1714">
      <w:pPr>
        <w:widowControl w:val="0"/>
        <w:autoSpaceDE w:val="0"/>
        <w:autoSpaceDN w:val="0"/>
        <w:adjustRightInd w:val="0"/>
        <w:spacing w:after="0" w:line="240" w:lineRule="auto"/>
        <w:ind w:left="101"/>
        <w:rPr>
          <w:rFonts w:ascii="Times New Roman" w:hAnsi="Times New Roman"/>
          <w:b/>
          <w:bCs/>
          <w:spacing w:val="1"/>
          <w:sz w:val="24"/>
          <w:szCs w:val="24"/>
        </w:rPr>
      </w:pPr>
      <w:r>
        <w:rPr>
          <w:rFonts w:ascii="Times New Roman" w:hAnsi="Times New Roman"/>
          <w:b/>
          <w:bCs/>
          <w:sz w:val="24"/>
          <w:szCs w:val="24"/>
        </w:rPr>
        <w:t xml:space="preserve">2.2. </w:t>
      </w:r>
      <w:r>
        <w:rPr>
          <w:rFonts w:ascii="Times New Roman" w:hAnsi="Times New Roman"/>
          <w:b/>
          <w:bCs/>
          <w:sz w:val="24"/>
          <w:szCs w:val="24"/>
          <w:lang w:val="id-ID"/>
        </w:rPr>
        <w:t>1</w:t>
      </w:r>
      <w:r>
        <w:rPr>
          <w:rFonts w:ascii="Times New Roman" w:hAnsi="Times New Roman"/>
          <w:b/>
          <w:bCs/>
          <w:sz w:val="24"/>
          <w:szCs w:val="24"/>
        </w:rPr>
        <w:t xml:space="preserve"> </w:t>
      </w:r>
      <w:r>
        <w:rPr>
          <w:rFonts w:ascii="Times New Roman" w:hAnsi="Times New Roman"/>
          <w:b/>
          <w:bCs/>
          <w:spacing w:val="1"/>
          <w:sz w:val="24"/>
          <w:szCs w:val="24"/>
        </w:rPr>
        <w:t xml:space="preserve">Environmental Management Accounting Practices and Manufacturing </w:t>
      </w:r>
      <w:r>
        <w:rPr>
          <w:rFonts w:ascii="Times New Roman" w:hAnsi="Times New Roman"/>
          <w:b/>
          <w:bCs/>
          <w:spacing w:val="1"/>
          <w:sz w:val="24"/>
          <w:szCs w:val="24"/>
          <w:lang w:val="id-ID"/>
        </w:rPr>
        <w:t>Company Performance</w:t>
      </w:r>
    </w:p>
    <w:p w14:paraId="411A6323" w14:textId="77777777" w:rsidR="00852C70" w:rsidRDefault="000A1714">
      <w:pPr>
        <w:widowControl w:val="0"/>
        <w:autoSpaceDE w:val="0"/>
        <w:autoSpaceDN w:val="0"/>
        <w:adjustRightInd w:val="0"/>
        <w:spacing w:after="0" w:line="240" w:lineRule="auto"/>
        <w:ind w:left="101"/>
        <w:jc w:val="both"/>
        <w:rPr>
          <w:rFonts w:ascii="Times New Roman" w:hAnsi="Times New Roman"/>
          <w:bCs/>
          <w:spacing w:val="1"/>
          <w:sz w:val="24"/>
          <w:szCs w:val="24"/>
          <w:lang w:val="id-ID"/>
        </w:rPr>
      </w:pPr>
      <w:r>
        <w:rPr>
          <w:rFonts w:ascii="Times New Roman" w:hAnsi="Times New Roman"/>
          <w:bCs/>
          <w:spacing w:val="1"/>
          <w:sz w:val="24"/>
          <w:szCs w:val="24"/>
          <w:lang w:val="id-ID"/>
        </w:rPr>
        <w:tab/>
      </w:r>
      <w:r>
        <w:rPr>
          <w:rFonts w:ascii="Times New Roman" w:hAnsi="Times New Roman"/>
          <w:bCs/>
          <w:spacing w:val="1"/>
          <w:sz w:val="24"/>
          <w:szCs w:val="24"/>
        </w:rPr>
        <w:fldChar w:fldCharType="begin"/>
      </w:r>
      <w:r>
        <w:rPr>
          <w:rFonts w:ascii="Times New Roman" w:hAnsi="Times New Roman"/>
          <w:bCs/>
          <w:spacing w:val="1"/>
          <w:sz w:val="24"/>
          <w:szCs w:val="24"/>
        </w:rPr>
        <w:instrText>ADDIN CSL_CITATION {"citationItems":[{"id":"ITEM-1","itemData":{"ISSN":": 2303-1719","abstract":"The issue of environmental damage, causes, and the effects on human life either for today’s life or future. This encourage the people to realize the importance of environmental reservation. The company, as the part of the community, is also pursued to participate in environmental reservation. This participation, of course, needs expenses, therefore it is necessary to recognize, disclosure, and presentation of them in an accounting, because the company should responsible all operational and managerial activities to all stakeholders and shareholders. Hence, the merge of green accounting or environmental accounting is a necessity. Environmental accounting is the identification, measurement, and allocation of environmental costs¸the integration of these environmental costs into business decisions, and the subsequent communication of the information to a company’s stakeholders. According the the discussion in this article and supported by the literary study, also empirical and academical studies, it can be revealed that green accounting has the significant and positive impact on the financial and environmental performance. The positive impact of the green accounting on financial is encoraged by the positive perception of consumers to the company in which will encourage the sales vlume and then increase the company profit. The environmental performance, either environmental health or environment vitality is encouraged by the voluntary of the company in copliance to the goverment laws, regulations, and policies and the consumers’ pursue to get the product with environmental oriented","author":[{"dropping-particle":"","family":"Aniela","given":"Yoshi","non-dropping-particle":"","parse-names":false,"suffix":""}],"container-title":"Berkala Ilmiah Mahasiswa Akuntansi","id":"ITEM-1","issue":"1","issued":{"date-parts":[["2012"]]},"page":"15-19","title":"Peran Akuntansi Lingkungan Dalam Meningkatkan Kinerja Lingkungan Dan Kinerja Keuangan Perusahaan","type":"article-journal","volume":"1"},"uris":["http://www.mendeley.com/documents/?uuid=70074138-4872-43a3-903c-f888c9be1b77"]}],"mendeley":{"formattedCitation":"(Aniela, 2012)","manualFormatting":"Aniela, (2012)","plainTextFormattedCitation":"(Aniela, 2012)","previouslyFormattedCitation":"(Aniela, 2012)"},"properties":{"noteIndex":0},"schema":"https://github.com/citation-style-language/schema/raw/master/csl-citation.json"}</w:instrText>
      </w:r>
      <w:r>
        <w:rPr>
          <w:rFonts w:ascii="Times New Roman" w:hAnsi="Times New Roman"/>
          <w:bCs/>
          <w:spacing w:val="1"/>
          <w:sz w:val="24"/>
          <w:szCs w:val="24"/>
        </w:rPr>
        <w:fldChar w:fldCharType="separate"/>
      </w:r>
      <w:r>
        <w:rPr>
          <w:rFonts w:ascii="Times New Roman" w:hAnsi="Times New Roman"/>
          <w:bCs/>
          <w:noProof/>
          <w:spacing w:val="1"/>
          <w:sz w:val="24"/>
          <w:szCs w:val="24"/>
        </w:rPr>
        <w:t xml:space="preserve">Aniela, </w:t>
      </w:r>
      <w:r>
        <w:rPr>
          <w:rFonts w:ascii="Times New Roman" w:hAnsi="Times New Roman"/>
          <w:bCs/>
          <w:noProof/>
          <w:spacing w:val="1"/>
          <w:sz w:val="24"/>
          <w:szCs w:val="24"/>
          <w:lang w:val="id-ID"/>
        </w:rPr>
        <w:t xml:space="preserve">( </w:t>
      </w:r>
      <w:r>
        <w:rPr>
          <w:rFonts w:ascii="Times New Roman" w:hAnsi="Times New Roman"/>
          <w:bCs/>
          <w:noProof/>
          <w:spacing w:val="1"/>
          <w:sz w:val="24"/>
          <w:szCs w:val="24"/>
        </w:rPr>
        <w:t xml:space="preserve">2012) </w:t>
      </w:r>
      <w:r>
        <w:rPr>
          <w:rFonts w:ascii="Times New Roman" w:hAnsi="Times New Roman"/>
          <w:bCs/>
          <w:spacing w:val="1"/>
          <w:sz w:val="24"/>
          <w:szCs w:val="24"/>
        </w:rPr>
        <w:fldChar w:fldCharType="end"/>
      </w:r>
      <w:r>
        <w:rPr>
          <w:rFonts w:ascii="Times New Roman" w:hAnsi="Times New Roman"/>
          <w:bCs/>
          <w:spacing w:val="1"/>
          <w:sz w:val="24"/>
          <w:szCs w:val="24"/>
          <w:lang w:val="id-ID"/>
        </w:rPr>
        <w:t xml:space="preserve">and </w:t>
      </w:r>
      <w:r>
        <w:rPr>
          <w:rFonts w:ascii="Times New Roman" w:hAnsi="Times New Roman"/>
          <w:bCs/>
          <w:spacing w:val="1"/>
          <w:sz w:val="24"/>
          <w:szCs w:val="24"/>
        </w:rPr>
        <w:fldChar w:fldCharType="begin"/>
      </w:r>
      <w:r>
        <w:rPr>
          <w:rFonts w:ascii="Times New Roman" w:hAnsi="Times New Roman"/>
          <w:bCs/>
          <w:spacing w:val="1"/>
          <w:sz w:val="24"/>
          <w:szCs w:val="24"/>
        </w:rPr>
        <w:instrText>ADDIN CSL_CITATION {"citationItems":[{"id":"ITEM-1","itemData":{"DOI":"10.17509/jrak.v3i1.6607","ISSN":"2338-1507","abstract":"The purpose of this research is to analyze the implementation of green accounting and to find an impact of application of green accounting toward earning and stock price growth in Indonesian Industri. Industri activities oftentimes give some bad impact to environment surroundings such as natural devastation and the changes of culture, social and economic. Green accounting is a realization of corporate social responsibility to relieve the impact. The implementation of green accounting can give good image for the company however preliminary research found not many companies are implementing green accounting. This research will use quantitave approach and different test or  paired T-test will use for statistical testing, in order to test the research assumptions. Variable of this research are Green accounting, Earning per Shares and Stock Price Growth. This research is expected will contribute for the development of green accounting theory and enhancement of the implementation of green accounting especially in Indonesian Industri on Asian Economic community era.","author":[{"dropping-particle":"","family":"Zulhaimi","given":"Hanifa","non-dropping-particle":"","parse-names":false,"suffix":""}],"container-title":"Jurnal Riset Akuntansi dan Keuangan","id":"ITEM-1","issue":"1","issued":{"date-parts":[["2015"]]},"page":"603","title":"Pengaruh Penerapan Green Accounting Terhadap Kinerja Perusahaan","type":"article-journal","volume":"3"},"uris":["http://www.mendeley.com/documents/?uuid=8c3e5719-924b-4ef1-bd04-0c8a03469828"]}],"mendeley":{"formattedCitation":"(Zulhaimi, 2015)","manualFormatting":"Zulhaimi, (2015)","plainTextFormattedCitation":"(Zulhaimi, 2015)","previouslyFormattedCitation":"(Zulhaimi, 2015)"},"properties":{"noteIndex":0},"schema":"https://github.com/citation-style-language/schema/raw/master/csl-citation.json"}</w:instrText>
      </w:r>
      <w:r>
        <w:rPr>
          <w:rFonts w:ascii="Times New Roman" w:hAnsi="Times New Roman"/>
          <w:bCs/>
          <w:spacing w:val="1"/>
          <w:sz w:val="24"/>
          <w:szCs w:val="24"/>
        </w:rPr>
        <w:fldChar w:fldCharType="separate"/>
      </w:r>
      <w:r>
        <w:rPr>
          <w:rFonts w:ascii="Times New Roman" w:hAnsi="Times New Roman"/>
          <w:bCs/>
          <w:noProof/>
          <w:spacing w:val="1"/>
          <w:sz w:val="24"/>
          <w:szCs w:val="24"/>
        </w:rPr>
        <w:t xml:space="preserve">Zulhaimi, </w:t>
      </w:r>
      <w:r>
        <w:rPr>
          <w:rFonts w:ascii="Times New Roman" w:hAnsi="Times New Roman"/>
          <w:bCs/>
          <w:noProof/>
          <w:spacing w:val="1"/>
          <w:sz w:val="24"/>
          <w:szCs w:val="24"/>
          <w:lang w:val="id-ID"/>
        </w:rPr>
        <w:t xml:space="preserve">( </w:t>
      </w:r>
      <w:r>
        <w:rPr>
          <w:rFonts w:ascii="Times New Roman" w:hAnsi="Times New Roman"/>
          <w:bCs/>
          <w:noProof/>
          <w:spacing w:val="1"/>
          <w:sz w:val="24"/>
          <w:szCs w:val="24"/>
        </w:rPr>
        <w:t xml:space="preserve">2015) </w:t>
      </w:r>
      <w:r>
        <w:rPr>
          <w:rFonts w:ascii="Times New Roman" w:hAnsi="Times New Roman"/>
          <w:bCs/>
          <w:spacing w:val="1"/>
          <w:sz w:val="24"/>
          <w:szCs w:val="24"/>
        </w:rPr>
        <w:fldChar w:fldCharType="end"/>
      </w:r>
      <w:r>
        <w:rPr>
          <w:rFonts w:ascii="Times New Roman" w:hAnsi="Times New Roman"/>
          <w:bCs/>
          <w:spacing w:val="1"/>
          <w:sz w:val="24"/>
          <w:szCs w:val="24"/>
          <w:lang w:val="id-ID"/>
        </w:rPr>
        <w:t xml:space="preserve">stated that environmental management accounting practices have a beneficial role for manufacturing companies in Indonesia in improving company performance. This statement is supported by the research results </w:t>
      </w:r>
      <w:r>
        <w:rPr>
          <w:rFonts w:ascii="Times New Roman" w:hAnsi="Times New Roman"/>
          <w:bCs/>
          <w:spacing w:val="1"/>
          <w:sz w:val="24"/>
          <w:szCs w:val="24"/>
          <w:lang w:val="id-ID"/>
        </w:rPr>
        <w:fldChar w:fldCharType="begin"/>
      </w:r>
      <w:r>
        <w:rPr>
          <w:rFonts w:ascii="Times New Roman" w:hAnsi="Times New Roman"/>
          <w:bCs/>
          <w:spacing w:val="1"/>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system","type":"article-journal","volume":"23"},"uris":["http://www.mendeley.com/documents/?uuid=8a2517f4-e9a9-46a1-aa3c-cfbd7297de86"]},{"id":"ITEM-2","itemData":{"DOI":"10.1108/BPMJ-06-2020-0264","ISSN":"14637154","abstract":"Purpose: This study aims to determine (1) the effect of environmental management accounting on organizational performance and (2) the mediating effect of process innovation on the relationship between environmental management accounting and organizational performance. Design/methodology/approach: This research uses survey methods designed for management accountants of large manufacturing companies in Indonesia. Data from 123 respondents were analyzed using the WarpPLS. Findings: The implementation of environmental management accounting exerted a positive effect on organizational performance. It is evident that the implementation of environmental management accounting encourages companies to innovate processes which will improve how well the organization performs. Research limitations/implications: These findings still contained several limitations such as data were only collected from one province in Indonesia, and so the findings might not be generalizable to other provinces in Indonesia. Also, the number of variables studied only involved three. The study only focused on certain dimensions of environmental management accounting without considering other dimensions in-depth. Practical implications: These findings extend the literature on environmental management accounting and demonstrate, from a practical perspective, environmental management accounting (EMA), which prioritizes the environment, will encourage companies to innovate their processes so that they are more environmentally friendly; EMA recognizes the important role of accountants in managing environmental issues. Originality/value: This study documents the importance of environmental management accounting to assist companies in getting accurate information on environmental issues and environmental costs.","author":[{"dropping-particle":"","family":"Sari","given":"Ria Nelly","non-dropping-particle":"","parse-names":false,"suffix":""},{"dropping-particle":"","family":"Pratadina","given":"Aura","non-dropping-particle":"","parse-names":false,"suffix":""},{"dropping-particle":"","family":"Anugerah","given":"Rita","non-dropping-particle":"","parse-names":false,"suffix":""},{"dropping-particle":"","family":"Kamaliah","given":"Kamaliah","non-dropping-particle":"","parse-names":false,"suffix":""},{"dropping-particle":"","family":"Sanusi","given":"Zuraidah Mohd","non-dropping-particle":"","parse-names":false,"suffix":""}],"container-title":"Business Process Management Journal","id":"ITEM-2","issued":{"date-parts":[["2020"]]},"title":"Effect of environmental management accounting practices on organizational performance: role of process innovation as a mediating variable","type":"article-journal"},"uris":["http://www.mendeley.com/documents/?uuid=b08c9cc0-e22c-4cf5-8519-c9532beb2c79"]}],"mendeley":{"formattedCitation":"(Mohd Fuzi et al., 2019; Sari et al., 2020)","manualFormatting":"Mohd Fuzi et al., (2019); Sari et al., (2020)","plainTextFormattedCitation":"(Mohd Fuzi et al., 2019; Sari et al., 2020)","previouslyFormattedCitation":"(Mohd Fuzi et al., 2019; Sari et al., 2020)"},"properties":{"noteIndex":0},"schema":"https://github.com/citation-style-language/schema/raw/master/csl-citation.json"}</w:instrText>
      </w:r>
      <w:r>
        <w:rPr>
          <w:rFonts w:ascii="Times New Roman" w:hAnsi="Times New Roman"/>
          <w:bCs/>
          <w:spacing w:val="1"/>
          <w:sz w:val="24"/>
          <w:szCs w:val="24"/>
          <w:lang w:val="id-ID"/>
        </w:rPr>
        <w:fldChar w:fldCharType="separate"/>
      </w:r>
      <w:r>
        <w:rPr>
          <w:rFonts w:ascii="Times New Roman" w:hAnsi="Times New Roman"/>
          <w:bCs/>
          <w:noProof/>
          <w:spacing w:val="1"/>
          <w:sz w:val="24"/>
          <w:szCs w:val="24"/>
          <w:lang w:val="id-ID"/>
        </w:rPr>
        <w:t xml:space="preserve">of Mohd Fuzi et al., (2019); Sari et al., (2020) </w:t>
      </w:r>
      <w:r>
        <w:rPr>
          <w:rFonts w:ascii="Times New Roman" w:hAnsi="Times New Roman"/>
          <w:bCs/>
          <w:spacing w:val="1"/>
          <w:sz w:val="24"/>
          <w:szCs w:val="24"/>
          <w:lang w:val="id-ID"/>
        </w:rPr>
        <w:fldChar w:fldCharType="end"/>
      </w:r>
      <w:r>
        <w:rPr>
          <w:rFonts w:ascii="Times New Roman" w:hAnsi="Times New Roman"/>
          <w:bCs/>
          <w:spacing w:val="1"/>
          <w:sz w:val="24"/>
          <w:szCs w:val="24"/>
          <w:lang w:val="id-ID"/>
        </w:rPr>
        <w:t xml:space="preserve">regarding </w:t>
      </w:r>
      <w:r>
        <w:rPr>
          <w:rFonts w:ascii="Times New Roman" w:hAnsi="Times New Roman"/>
          <w:bCs/>
          <w:spacing w:val="1"/>
          <w:sz w:val="24"/>
          <w:szCs w:val="24"/>
        </w:rPr>
        <w:t xml:space="preserve">the influence of </w:t>
      </w:r>
      <w:r>
        <w:rPr>
          <w:rFonts w:ascii="Times New Roman" w:hAnsi="Times New Roman"/>
          <w:bCs/>
          <w:spacing w:val="1"/>
          <w:sz w:val="24"/>
          <w:szCs w:val="24"/>
          <w:lang w:val="id-ID"/>
        </w:rPr>
        <w:t>environmental management accounting practices and company performance which has a positive and significant relationship. Based on this description, the hypothesis of the relationship between the two variables can be concluded as follows:</w:t>
      </w:r>
    </w:p>
    <w:p w14:paraId="2C5A1F71" w14:textId="77777777" w:rsidR="00852C70" w:rsidRDefault="000A1714">
      <w:pPr>
        <w:widowControl w:val="0"/>
        <w:autoSpaceDE w:val="0"/>
        <w:autoSpaceDN w:val="0"/>
        <w:adjustRightInd w:val="0"/>
        <w:spacing w:after="0" w:line="240" w:lineRule="auto"/>
        <w:ind w:left="101"/>
        <w:jc w:val="both"/>
        <w:rPr>
          <w:rFonts w:ascii="Times New Roman" w:hAnsi="Times New Roman"/>
          <w:i/>
          <w:iCs/>
          <w:color w:val="000000"/>
          <w:sz w:val="24"/>
          <w:szCs w:val="24"/>
          <w:lang w:val="id-ID"/>
        </w:rPr>
      </w:pPr>
      <w:r>
        <w:rPr>
          <w:rFonts w:ascii="Times New Roman" w:hAnsi="Times New Roman"/>
          <w:bCs/>
          <w:color w:val="000000"/>
          <w:spacing w:val="1"/>
          <w:sz w:val="24"/>
          <w:szCs w:val="24"/>
        </w:rPr>
        <w:t xml:space="preserve">H1. </w:t>
      </w:r>
      <w:r>
        <w:rPr>
          <w:rFonts w:ascii="Times New Roman" w:hAnsi="Times New Roman"/>
          <w:bCs/>
          <w:color w:val="000000"/>
          <w:spacing w:val="1"/>
          <w:sz w:val="24"/>
          <w:szCs w:val="24"/>
          <w:lang w:val="id-ID"/>
        </w:rPr>
        <w:t xml:space="preserve">Environmental Management Accounting </w:t>
      </w:r>
      <w:r>
        <w:rPr>
          <w:rFonts w:ascii="Times New Roman" w:hAnsi="Times New Roman"/>
          <w:bCs/>
          <w:color w:val="000000"/>
          <w:spacing w:val="1"/>
          <w:sz w:val="24"/>
          <w:szCs w:val="24"/>
        </w:rPr>
        <w:t xml:space="preserve">Practices have a positive and significant effect on Manufacturing </w:t>
      </w:r>
      <w:r>
        <w:rPr>
          <w:rFonts w:ascii="Times New Roman" w:hAnsi="Times New Roman"/>
          <w:bCs/>
          <w:color w:val="000000"/>
          <w:spacing w:val="1"/>
          <w:sz w:val="24"/>
          <w:szCs w:val="24"/>
          <w:lang w:val="id-ID"/>
        </w:rPr>
        <w:t>Company Performance .</w:t>
      </w:r>
    </w:p>
    <w:p w14:paraId="187507D9" w14:textId="77777777" w:rsidR="00852C70" w:rsidRDefault="00852C70">
      <w:pPr>
        <w:widowControl w:val="0"/>
        <w:autoSpaceDE w:val="0"/>
        <w:autoSpaceDN w:val="0"/>
        <w:adjustRightInd w:val="0"/>
        <w:spacing w:before="14" w:after="0" w:line="260" w:lineRule="exact"/>
        <w:rPr>
          <w:rFonts w:ascii="Times New Roman" w:hAnsi="Times New Roman"/>
          <w:sz w:val="26"/>
          <w:szCs w:val="26"/>
        </w:rPr>
      </w:pPr>
    </w:p>
    <w:p w14:paraId="5CBAC27B" w14:textId="77777777" w:rsidR="00852C70" w:rsidRDefault="000A1714">
      <w:pPr>
        <w:widowControl w:val="0"/>
        <w:autoSpaceDE w:val="0"/>
        <w:autoSpaceDN w:val="0"/>
        <w:adjustRightInd w:val="0"/>
        <w:spacing w:after="0" w:line="240" w:lineRule="auto"/>
        <w:ind w:left="101"/>
        <w:rPr>
          <w:rFonts w:ascii="Times New Roman" w:hAnsi="Times New Roman"/>
          <w:sz w:val="24"/>
          <w:szCs w:val="24"/>
        </w:rPr>
      </w:pPr>
      <w:r>
        <w:rPr>
          <w:rFonts w:ascii="Times New Roman" w:hAnsi="Times New Roman"/>
          <w:b/>
          <w:bCs/>
          <w:sz w:val="24"/>
          <w:szCs w:val="24"/>
        </w:rPr>
        <w:t xml:space="preserve">2.2.2. </w:t>
      </w:r>
      <w:r>
        <w:rPr>
          <w:rFonts w:ascii="Times New Roman" w:hAnsi="Times New Roman"/>
          <w:b/>
          <w:bCs/>
          <w:spacing w:val="1"/>
          <w:sz w:val="24"/>
          <w:szCs w:val="24"/>
        </w:rPr>
        <w:t>Environmental Management Accounting Practices and Information Systems</w:t>
      </w:r>
      <w:r>
        <w:rPr>
          <w:rFonts w:ascii="Times New Roman" w:hAnsi="Times New Roman"/>
          <w:sz w:val="24"/>
          <w:szCs w:val="24"/>
        </w:rPr>
        <w:tab/>
      </w:r>
    </w:p>
    <w:p w14:paraId="03C3E0CC" w14:textId="77777777" w:rsidR="00852C70" w:rsidRDefault="000A1714">
      <w:pPr>
        <w:widowControl w:val="0"/>
        <w:autoSpaceDE w:val="0"/>
        <w:autoSpaceDN w:val="0"/>
        <w:adjustRightInd w:val="0"/>
        <w:spacing w:after="0" w:line="240" w:lineRule="auto"/>
        <w:ind w:left="101"/>
        <w:jc w:val="both"/>
        <w:rPr>
          <w:rFonts w:ascii="Times New Roman" w:hAnsi="Times New Roman"/>
          <w:color w:val="000000"/>
          <w:sz w:val="24"/>
          <w:szCs w:val="24"/>
          <w:lang w:val="id-ID"/>
        </w:rPr>
      </w:pPr>
      <w:r>
        <w:rPr>
          <w:rFonts w:ascii="Times New Roman" w:hAnsi="Times New Roman"/>
          <w:color w:val="FF0000"/>
          <w:sz w:val="24"/>
          <w:szCs w:val="24"/>
        </w:rPr>
        <w:tab/>
      </w:r>
      <w:r>
        <w:rPr>
          <w:rFonts w:ascii="Times New Roman" w:hAnsi="Times New Roman"/>
          <w:color w:val="000000"/>
          <w:sz w:val="24"/>
          <w:szCs w:val="24"/>
          <w:lang w:val="id-ID"/>
        </w:rPr>
        <w:t xml:space="preserve">In industries, especially those engaged in manufacturing, the application of information systems can provide support from companies to improve environmental management accounting practices </w:t>
      </w: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2019)","plainTextFormattedCitation":"(Mohd Fuzi et al., 2019)","previouslyFormattedCitation":"(Mohd Fuzi et al., 2019)"},"properties":{"noteIndex":0},"schema":"https://github.com/citation-style-language/schema/raw/master/csl-citation.json"}</w:instrText>
      </w:r>
      <w:r>
        <w:rPr>
          <w:rFonts w:ascii="Times New Roman" w:hAnsi="Times New Roman"/>
          <w:color w:val="000000"/>
          <w:sz w:val="24"/>
          <w:szCs w:val="24"/>
          <w:lang w:val="id-ID"/>
        </w:rPr>
        <w:fldChar w:fldCharType="separate"/>
      </w:r>
      <w:r>
        <w:rPr>
          <w:rFonts w:ascii="Times New Roman" w:hAnsi="Times New Roman"/>
          <w:noProof/>
          <w:color w:val="000000"/>
          <w:sz w:val="24"/>
          <w:szCs w:val="24"/>
          <w:lang w:val="id-ID"/>
        </w:rPr>
        <w:t xml:space="preserve">(Mohd Fuzi et al., 2019) </w:t>
      </w:r>
      <w:r>
        <w:rPr>
          <w:rFonts w:ascii="Times New Roman" w:hAnsi="Times New Roman"/>
          <w:color w:val="000000"/>
          <w:sz w:val="24"/>
          <w:szCs w:val="24"/>
          <w:lang w:val="id-ID"/>
        </w:rPr>
        <w:fldChar w:fldCharType="end"/>
      </w:r>
      <w:r>
        <w:rPr>
          <w:rFonts w:ascii="Times New Roman" w:hAnsi="Times New Roman"/>
          <w:color w:val="000000"/>
          <w:sz w:val="24"/>
          <w:szCs w:val="24"/>
          <w:lang w:val="id-ID"/>
        </w:rPr>
        <w:t xml:space="preserve">. This is because in information systems there is technology that supports the processing of information related to environmental information. </w:t>
      </w:r>
      <w:r>
        <w:rPr>
          <w:rFonts w:ascii="Times New Roman" w:hAnsi="Times New Roman"/>
          <w:color w:val="000000"/>
          <w:sz w:val="24"/>
          <w:szCs w:val="24"/>
          <w:lang w:val="id-ID"/>
        </w:rPr>
        <w:lastRenderedPageBreak/>
        <w:t xml:space="preserve">Research conducted by </w:t>
      </w: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2019)","manualFormatting":"Mohd Fuzi et al., (2019)","plainTextFormattedCitation":"(Mohd Fuzi et al., 2019)","previouslyFormattedCitation":"(Mohd Fuzi et al., 2019)"},"properties":{"noteIndex":0},"schema":"https://github.com/citation-style-language/schema/raw/master/csl-citation.json"}</w:instrText>
      </w:r>
      <w:r>
        <w:rPr>
          <w:rFonts w:ascii="Times New Roman" w:hAnsi="Times New Roman"/>
          <w:color w:val="000000"/>
          <w:sz w:val="24"/>
          <w:szCs w:val="24"/>
          <w:lang w:val="id-ID"/>
        </w:rPr>
        <w:fldChar w:fldCharType="separate"/>
      </w:r>
      <w:r>
        <w:rPr>
          <w:rFonts w:ascii="Times New Roman" w:hAnsi="Times New Roman"/>
          <w:noProof/>
          <w:color w:val="000000"/>
          <w:sz w:val="24"/>
          <w:szCs w:val="24"/>
          <w:lang w:val="id-ID"/>
        </w:rPr>
        <w:t xml:space="preserve">Mohd Fuzi et al., (2019) </w:t>
      </w:r>
      <w:r>
        <w:rPr>
          <w:rFonts w:ascii="Times New Roman" w:hAnsi="Times New Roman"/>
          <w:color w:val="000000"/>
          <w:sz w:val="24"/>
          <w:szCs w:val="24"/>
          <w:lang w:val="id-ID"/>
        </w:rPr>
        <w:fldChar w:fldCharType="end"/>
      </w:r>
      <w:r>
        <w:rPr>
          <w:rFonts w:ascii="Times New Roman" w:hAnsi="Times New Roman"/>
          <w:color w:val="000000"/>
          <w:sz w:val="24"/>
          <w:szCs w:val="24"/>
          <w:lang w:val="id-ID"/>
        </w:rPr>
        <w:t xml:space="preserve">discusses </w:t>
      </w:r>
      <w:r>
        <w:rPr>
          <w:rFonts w:ascii="Times New Roman" w:hAnsi="Times New Roman"/>
          <w:color w:val="000000"/>
          <w:sz w:val="24"/>
          <w:szCs w:val="24"/>
        </w:rPr>
        <w:t xml:space="preserve">the influence of </w:t>
      </w:r>
      <w:r>
        <w:rPr>
          <w:rFonts w:ascii="Times New Roman" w:hAnsi="Times New Roman"/>
          <w:color w:val="000000"/>
          <w:sz w:val="24"/>
          <w:szCs w:val="24"/>
          <w:lang w:val="id-ID"/>
        </w:rPr>
        <w:t>environmental management accounting practices and information systems and shows a positive and significant relationship regarding these two variables. Therefore, it can be concluded that the hypothesis from the variable relationship is as follows:</w:t>
      </w:r>
    </w:p>
    <w:p w14:paraId="0C93AC1B" w14:textId="77777777" w:rsidR="00852C70" w:rsidRDefault="000A1714">
      <w:pPr>
        <w:widowControl w:val="0"/>
        <w:autoSpaceDE w:val="0"/>
        <w:autoSpaceDN w:val="0"/>
        <w:adjustRightInd w:val="0"/>
        <w:spacing w:after="0" w:line="240" w:lineRule="auto"/>
        <w:ind w:left="101"/>
        <w:jc w:val="both"/>
        <w:rPr>
          <w:rFonts w:ascii="Times New Roman" w:hAnsi="Times New Roman"/>
          <w:color w:val="000000"/>
          <w:sz w:val="24"/>
          <w:szCs w:val="24"/>
          <w:lang w:val="id-ID"/>
        </w:rPr>
      </w:pPr>
      <w:r>
        <w:rPr>
          <w:rFonts w:ascii="Times New Roman" w:hAnsi="Times New Roman"/>
          <w:color w:val="000000"/>
          <w:sz w:val="24"/>
          <w:szCs w:val="24"/>
        </w:rPr>
        <w:t xml:space="preserve">H2. </w:t>
      </w:r>
      <w:r>
        <w:rPr>
          <w:rFonts w:ascii="Times New Roman" w:hAnsi="Times New Roman"/>
          <w:color w:val="000000"/>
          <w:sz w:val="24"/>
          <w:szCs w:val="24"/>
          <w:lang w:val="id-ID"/>
        </w:rPr>
        <w:t xml:space="preserve">Environmental Management </w:t>
      </w:r>
      <w:r>
        <w:rPr>
          <w:rFonts w:ascii="Times New Roman" w:hAnsi="Times New Roman"/>
          <w:color w:val="000000"/>
          <w:sz w:val="24"/>
          <w:szCs w:val="24"/>
        </w:rPr>
        <w:t xml:space="preserve">Accounting Practices have a positive and significant effect on </w:t>
      </w:r>
      <w:r>
        <w:rPr>
          <w:rFonts w:ascii="Times New Roman" w:hAnsi="Times New Roman"/>
          <w:color w:val="000000"/>
          <w:sz w:val="24"/>
          <w:szCs w:val="24"/>
          <w:lang w:val="id-ID"/>
        </w:rPr>
        <w:t>Information Systems.</w:t>
      </w:r>
    </w:p>
    <w:p w14:paraId="183E51EA" w14:textId="77777777" w:rsidR="00852C70" w:rsidRDefault="00852C70">
      <w:pPr>
        <w:widowControl w:val="0"/>
        <w:autoSpaceDE w:val="0"/>
        <w:autoSpaceDN w:val="0"/>
        <w:adjustRightInd w:val="0"/>
        <w:spacing w:after="0" w:line="240" w:lineRule="auto"/>
        <w:ind w:left="101"/>
        <w:jc w:val="both"/>
        <w:rPr>
          <w:rFonts w:ascii="Times New Roman" w:hAnsi="Times New Roman"/>
          <w:sz w:val="24"/>
          <w:szCs w:val="24"/>
        </w:rPr>
      </w:pPr>
    </w:p>
    <w:p w14:paraId="29D94A23" w14:textId="77777777" w:rsidR="00852C70" w:rsidRDefault="000A1714">
      <w:pPr>
        <w:widowControl w:val="0"/>
        <w:autoSpaceDE w:val="0"/>
        <w:autoSpaceDN w:val="0"/>
        <w:adjustRightInd w:val="0"/>
        <w:spacing w:after="0" w:line="240" w:lineRule="auto"/>
        <w:ind w:left="101"/>
        <w:rPr>
          <w:rFonts w:ascii="Times New Roman" w:hAnsi="Times New Roman"/>
          <w:b/>
          <w:bCs/>
          <w:spacing w:val="1"/>
          <w:sz w:val="24"/>
          <w:szCs w:val="24"/>
        </w:rPr>
      </w:pPr>
      <w:r>
        <w:rPr>
          <w:rFonts w:ascii="Times New Roman" w:hAnsi="Times New Roman"/>
          <w:b/>
          <w:bCs/>
          <w:sz w:val="24"/>
          <w:szCs w:val="24"/>
        </w:rPr>
        <w:t xml:space="preserve">2.2.3 </w:t>
      </w:r>
      <w:r>
        <w:rPr>
          <w:rFonts w:ascii="Times New Roman" w:hAnsi="Times New Roman"/>
          <w:b/>
          <w:bCs/>
          <w:spacing w:val="1"/>
          <w:sz w:val="24"/>
          <w:szCs w:val="24"/>
        </w:rPr>
        <w:t xml:space="preserve">. Information Systems and Manufacturing </w:t>
      </w:r>
      <w:r>
        <w:rPr>
          <w:rFonts w:ascii="Times New Roman" w:hAnsi="Times New Roman"/>
          <w:b/>
          <w:bCs/>
          <w:spacing w:val="1"/>
          <w:sz w:val="24"/>
          <w:szCs w:val="24"/>
          <w:lang w:val="id-ID"/>
        </w:rPr>
        <w:t>Company Performance</w:t>
      </w:r>
    </w:p>
    <w:p w14:paraId="0FFDE92C" w14:textId="77777777" w:rsidR="00852C70" w:rsidRDefault="000A1714">
      <w:pPr>
        <w:widowControl w:val="0"/>
        <w:autoSpaceDE w:val="0"/>
        <w:autoSpaceDN w:val="0"/>
        <w:adjustRightInd w:val="0"/>
        <w:spacing w:after="0" w:line="240" w:lineRule="auto"/>
        <w:ind w:left="101"/>
        <w:jc w:val="both"/>
        <w:rPr>
          <w:rFonts w:ascii="Times New Roman" w:hAnsi="Times New Roman"/>
          <w:color w:val="000000"/>
          <w:sz w:val="24"/>
          <w:szCs w:val="24"/>
          <w:lang w:val="id-ID"/>
        </w:rPr>
      </w:pPr>
      <w:r>
        <w:rPr>
          <w:rFonts w:ascii="Times New Roman" w:hAnsi="Times New Roman"/>
          <w:color w:val="000000"/>
          <w:sz w:val="24"/>
          <w:szCs w:val="24"/>
        </w:rPr>
        <w:tab/>
      </w:r>
      <w:r>
        <w:rPr>
          <w:rFonts w:ascii="Times New Roman" w:hAnsi="Times New Roman"/>
          <w:color w:val="000000"/>
          <w:sz w:val="24"/>
          <w:szCs w:val="24"/>
          <w:lang w:val="id-ID"/>
        </w:rPr>
        <w:t xml:space="preserve">With an information system, companies will be able to easily make more accurate decisions. Company managers will utilize the output of the information system for decision making in planning and monitoring the running of the company in order to create company performance targets </w:t>
      </w: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ADDIN CSL_CITATION {"citationItems":[{"id":"ITEM-1","itemData":{"author":[{"dropping-particle":"","family":"Hailu","given":"Tesfaye","non-dropping-particle":"","parse-names":false,"suffix":""}],"id":"ITEM-1","issue":"37","issued":{"date-parts":[["2014"]]},"page":"331-339","title":"The Impact of Information System ( IS ) on Organziational Performace : With Special Refernce to Ethio-Telecom Southern Region , Hawassa","type":"article-journal","volume":"6"},"uris":["http://www.mendeley.com/documents/?uuid=ddf257b4-12b2-4145-a4a3-4eba562660ca"]}],"mendeley":{"formattedCitation":"(Hailu, 2014)","plainTextFormattedCitation":"(Hailu, 2014)","previouslyFormattedCitation":"(Hailu, 2014)"},"properties":{"noteIndex":0},"schema":"https://github.com/citation-style-language/schema/raw/master/csl-citation.json"}</w:instrText>
      </w:r>
      <w:r>
        <w:rPr>
          <w:rFonts w:ascii="Times New Roman" w:hAnsi="Times New Roman"/>
          <w:color w:val="000000"/>
          <w:sz w:val="24"/>
          <w:szCs w:val="24"/>
          <w:lang w:val="id-ID"/>
        </w:rPr>
        <w:fldChar w:fldCharType="separate"/>
      </w:r>
      <w:r>
        <w:rPr>
          <w:rFonts w:ascii="Times New Roman" w:hAnsi="Times New Roman"/>
          <w:noProof/>
          <w:color w:val="000000"/>
          <w:sz w:val="24"/>
          <w:szCs w:val="24"/>
          <w:lang w:val="id-ID"/>
        </w:rPr>
        <w:t xml:space="preserve">(Hailu, 2014) </w:t>
      </w:r>
      <w:r>
        <w:rPr>
          <w:rFonts w:ascii="Times New Roman" w:hAnsi="Times New Roman"/>
          <w:color w:val="000000"/>
          <w:sz w:val="24"/>
          <w:szCs w:val="24"/>
          <w:lang w:val="id-ID"/>
        </w:rPr>
        <w:fldChar w:fldCharType="end"/>
      </w:r>
      <w:r>
        <w:rPr>
          <w:rFonts w:ascii="Times New Roman" w:hAnsi="Times New Roman"/>
          <w:color w:val="000000"/>
          <w:sz w:val="24"/>
          <w:szCs w:val="24"/>
          <w:lang w:val="id-ID"/>
        </w:rPr>
        <w:t xml:space="preserve">. </w:t>
      </w: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ADDIN CSL_CITATION {"citationItems":[{"id":"ITEM-1","itemData":{"author":[{"dropping-particle":"","family":"Hailu","given":"Tesfaye","non-dropping-particle":"","parse-names":false,"suffix":""}],"id":"ITEM-1","issue":"37","issued":{"date-parts":[["2014"]]},"page":"331-339","title":"The Impact of Information System ( IS ) on Organziational Performace : With Special Refernce to Ethio-Telecom Southern Region , Hawassa","type":"article-journal","volume":"6"},"uris":["http://www.mendeley.com/documents/?uuid=ddf257b4-12b2-4145-a4a3-4eba562660ca"]}],"mendeley":{"formattedCitation":"(Hailu, 2014)","manualFormatting":"Kehinde and Yusuf (2012) dalam Hailu, (2014)","plainTextFormattedCitation":"(Hailu, 2014)","previouslyFormattedCitation":"(Hailu, 2014)"},"properties":{"noteIndex":0},"schema":"https://github.com/citation-style-language/schema/raw/master/csl-citation.json"}</w:instrText>
      </w:r>
      <w:r>
        <w:rPr>
          <w:rFonts w:ascii="Times New Roman" w:hAnsi="Times New Roman"/>
          <w:color w:val="000000"/>
          <w:sz w:val="24"/>
          <w:szCs w:val="24"/>
          <w:lang w:val="id-ID"/>
        </w:rPr>
        <w:fldChar w:fldCharType="separate"/>
      </w:r>
      <w:r>
        <w:rPr>
          <w:rFonts w:ascii="Times New Roman" w:hAnsi="Times New Roman"/>
          <w:noProof/>
          <w:color w:val="000000"/>
          <w:sz w:val="24"/>
          <w:szCs w:val="24"/>
          <w:lang w:val="id-ID"/>
        </w:rPr>
        <w:t xml:space="preserve">Kehinde and Yusuf (2012) in Hailu, (2014) </w:t>
      </w:r>
      <w:r>
        <w:rPr>
          <w:rFonts w:ascii="Times New Roman" w:hAnsi="Times New Roman"/>
          <w:color w:val="000000"/>
          <w:sz w:val="24"/>
          <w:szCs w:val="24"/>
          <w:lang w:val="id-ID"/>
        </w:rPr>
        <w:fldChar w:fldCharType="end"/>
      </w:r>
      <w:r>
        <w:rPr>
          <w:rFonts w:ascii="Times New Roman" w:hAnsi="Times New Roman"/>
          <w:color w:val="000000"/>
          <w:sz w:val="24"/>
          <w:szCs w:val="24"/>
          <w:lang w:val="id-ID"/>
        </w:rPr>
        <w:t>stated that an organization or company will not be able to survive without an information system.</w:t>
      </w:r>
    </w:p>
    <w:p w14:paraId="1AE70944" w14:textId="77777777" w:rsidR="00852C70" w:rsidRDefault="000A1714">
      <w:pPr>
        <w:widowControl w:val="0"/>
        <w:autoSpaceDE w:val="0"/>
        <w:autoSpaceDN w:val="0"/>
        <w:adjustRightInd w:val="0"/>
        <w:spacing w:after="0" w:line="240" w:lineRule="auto"/>
        <w:ind w:left="101"/>
        <w:jc w:val="both"/>
        <w:rPr>
          <w:rFonts w:ascii="Times New Roman" w:hAnsi="Times New Roman"/>
          <w:color w:val="000000"/>
          <w:sz w:val="24"/>
          <w:szCs w:val="24"/>
          <w:lang w:val="id-ID"/>
        </w:rPr>
      </w:pPr>
      <w:r>
        <w:rPr>
          <w:rFonts w:ascii="Times New Roman" w:hAnsi="Times New Roman"/>
          <w:color w:val="000000"/>
          <w:sz w:val="24"/>
          <w:szCs w:val="24"/>
          <w:lang w:val="id-ID"/>
        </w:rPr>
        <w:tab/>
        <w:t xml:space="preserve">Research conducted by </w:t>
      </w: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ADDIN CSL_CITATION {"citationItems":[{"id":"ITEM-1","itemData":{"author":[{"dropping-particle":"","family":"Hailu","given":"Tesfaye","non-dropping-particle":"","parse-names":false,"suffix":""}],"id":"ITEM-1","issue":"37","issued":{"date-parts":[["2014"]]},"page":"331-339","title":"The Impact of Information System ( IS ) on Organziational Performace : With Special Refernce to Ethio-Telecom Southern Region , Hawassa","type":"article-journal","volume":"6"},"uris":["http://www.mendeley.com/documents/?uuid=ddf257b4-12b2-4145-a4a3-4eba562660ca"]},{"id":"ITEM-2","itemData":{"DOI":"10.20897/jisem/3937","ISSN":"2468-4376","abstract":"… Information Systems and their Effect on Organizational Performance: An Inquiry into Job Satisfaction and Commitment in Higher Education Institutions … H4: The success of IS has a positive impact on the job satisfaction of people in a higher education institution …","author":[{"dropping-particle":"","family":"Guzmán","given":"Sergio Araya","non-dropping-particle":"","parse-names":false,"suffix":""},{"dropping-particle":"","family":"Fóster","given":"Patricia Figueroa","non-dropping-particle":"","parse-names":false,"suffix":""},{"dropping-particle":"","family":"Ramírez-Correa","given":"Patricio","non-dropping-particle":"","parse-names":false,"suffix":""},{"dropping-particle":"","family":"Grandón","given":"Elizabeth E.","non-dropping-particle":"","parse-names":false,"suffix":""},{"dropping-particle":"","family":"Alfaro-Perez","given":"Jorge","non-dropping-particle":"","parse-names":false,"suffix":""}],"container-title":"Journal of Information Systems Engineering &amp; Management","id":"ITEM-2","issue":"4","issued":{"date-parts":[["2018"]]},"title":"Information Systems and their Effect on Organizational Performance: An Inquiry into Job Satisfaction and Commitment in Higher Education Institutions","type":"article-journal","volume":"3"},"uris":["http://www.mendeley.com/documents/?uuid=e5bbc1da-f4b2-408f-9623-9c71545301fc"]}],"mendeley":{"formattedCitation":"(Guzmán et al., 2018; Hailu, 2014)","manualFormatting":"Guzmán, Fóster, Ramírez-Correa, Grandón, &amp; Alfaro-Perez, (2018); Hailu, (2014)","plainTextFormattedCitation":"(Guzmán et al., 2018; Hailu, 2014)","previouslyFormattedCitation":"(Guzmán et al., 2018; Hailu, 2014)"},"properties":{"noteIndex":0},"schema":"https://github.com/citation-style-language/schema/raw/master/csl-citation.json"}</w:instrText>
      </w:r>
      <w:r>
        <w:rPr>
          <w:rFonts w:ascii="Times New Roman" w:hAnsi="Times New Roman"/>
          <w:color w:val="000000"/>
          <w:sz w:val="24"/>
          <w:szCs w:val="24"/>
          <w:lang w:val="id-ID"/>
        </w:rPr>
        <w:fldChar w:fldCharType="separate"/>
      </w:r>
      <w:r>
        <w:rPr>
          <w:rFonts w:ascii="Times New Roman" w:hAnsi="Times New Roman"/>
          <w:noProof/>
          <w:color w:val="000000"/>
          <w:sz w:val="24"/>
          <w:szCs w:val="24"/>
          <w:lang w:val="id-ID"/>
        </w:rPr>
        <w:t xml:space="preserve">Guzmán, Fóster, Ramírez-Correa, Grandón, &amp; Alfaro-Perez, (2018); Hailu, (2014) </w:t>
      </w:r>
      <w:r>
        <w:rPr>
          <w:rFonts w:ascii="Times New Roman" w:hAnsi="Times New Roman"/>
          <w:color w:val="000000"/>
          <w:sz w:val="24"/>
          <w:szCs w:val="24"/>
          <w:lang w:val="id-ID"/>
        </w:rPr>
        <w:fldChar w:fldCharType="end"/>
      </w:r>
      <w:r>
        <w:rPr>
          <w:rFonts w:ascii="Times New Roman" w:hAnsi="Times New Roman"/>
          <w:color w:val="000000"/>
          <w:sz w:val="24"/>
          <w:szCs w:val="24"/>
          <w:lang w:val="id-ID"/>
        </w:rPr>
        <w:t xml:space="preserve">shows positive results on </w:t>
      </w:r>
      <w:r>
        <w:rPr>
          <w:rFonts w:ascii="Times New Roman" w:hAnsi="Times New Roman"/>
          <w:color w:val="000000"/>
          <w:sz w:val="24"/>
          <w:szCs w:val="24"/>
        </w:rPr>
        <w:t xml:space="preserve">the influence of </w:t>
      </w:r>
      <w:r>
        <w:rPr>
          <w:rFonts w:ascii="Times New Roman" w:hAnsi="Times New Roman"/>
          <w:color w:val="000000"/>
          <w:sz w:val="24"/>
          <w:szCs w:val="24"/>
          <w:lang w:val="id-ID"/>
        </w:rPr>
        <w:t>information systems and company performance. The hypothesis from the research can be concluded as follows:</w:t>
      </w:r>
    </w:p>
    <w:p w14:paraId="2C5B25BC" w14:textId="77777777" w:rsidR="00852C70" w:rsidRDefault="000A1714">
      <w:pPr>
        <w:widowControl w:val="0"/>
        <w:autoSpaceDE w:val="0"/>
        <w:autoSpaceDN w:val="0"/>
        <w:adjustRightInd w:val="0"/>
        <w:spacing w:after="0" w:line="240" w:lineRule="auto"/>
        <w:ind w:left="101"/>
        <w:jc w:val="both"/>
        <w:rPr>
          <w:rFonts w:ascii="Times New Roman" w:hAnsi="Times New Roman"/>
          <w:color w:val="000000"/>
          <w:sz w:val="24"/>
          <w:szCs w:val="24"/>
        </w:rPr>
      </w:pPr>
      <w:r>
        <w:rPr>
          <w:rFonts w:ascii="Times New Roman" w:hAnsi="Times New Roman"/>
          <w:color w:val="000000"/>
          <w:sz w:val="24"/>
          <w:szCs w:val="24"/>
        </w:rPr>
        <w:t xml:space="preserve">H3. </w:t>
      </w:r>
      <w:r>
        <w:rPr>
          <w:rFonts w:ascii="Times New Roman" w:hAnsi="Times New Roman"/>
          <w:color w:val="000000"/>
          <w:sz w:val="24"/>
          <w:szCs w:val="24"/>
          <w:lang w:val="id-ID"/>
        </w:rPr>
        <w:t xml:space="preserve">Information Systems </w:t>
      </w:r>
      <w:r>
        <w:rPr>
          <w:rFonts w:ascii="Times New Roman" w:hAnsi="Times New Roman"/>
          <w:color w:val="000000"/>
          <w:sz w:val="24"/>
          <w:szCs w:val="24"/>
        </w:rPr>
        <w:t xml:space="preserve">have a positive and significant effect on Manufacturing </w:t>
      </w:r>
      <w:r>
        <w:rPr>
          <w:rFonts w:ascii="Times New Roman" w:hAnsi="Times New Roman"/>
          <w:color w:val="000000"/>
          <w:sz w:val="24"/>
          <w:szCs w:val="24"/>
          <w:lang w:val="id-ID"/>
        </w:rPr>
        <w:t>Company Performance .</w:t>
      </w:r>
    </w:p>
    <w:p w14:paraId="3FC36155" w14:textId="77777777" w:rsidR="00852C70" w:rsidRDefault="00852C70">
      <w:pPr>
        <w:widowControl w:val="0"/>
        <w:autoSpaceDE w:val="0"/>
        <w:autoSpaceDN w:val="0"/>
        <w:adjustRightInd w:val="0"/>
        <w:spacing w:after="0" w:line="240" w:lineRule="auto"/>
        <w:ind w:left="101"/>
        <w:rPr>
          <w:rFonts w:ascii="Times New Roman" w:hAnsi="Times New Roman"/>
          <w:b/>
          <w:bCs/>
          <w:sz w:val="24"/>
          <w:szCs w:val="24"/>
        </w:rPr>
      </w:pPr>
    </w:p>
    <w:p w14:paraId="4579D105" w14:textId="77777777" w:rsidR="00852C70" w:rsidRDefault="000A1714">
      <w:pPr>
        <w:widowControl w:val="0"/>
        <w:autoSpaceDE w:val="0"/>
        <w:autoSpaceDN w:val="0"/>
        <w:adjustRightInd w:val="0"/>
        <w:spacing w:after="0" w:line="240" w:lineRule="auto"/>
        <w:ind w:left="101"/>
        <w:rPr>
          <w:rFonts w:ascii="Times New Roman" w:hAnsi="Times New Roman"/>
          <w:b/>
          <w:bCs/>
          <w:spacing w:val="1"/>
          <w:sz w:val="24"/>
          <w:szCs w:val="24"/>
        </w:rPr>
      </w:pPr>
      <w:r>
        <w:rPr>
          <w:rFonts w:ascii="Times New Roman" w:hAnsi="Times New Roman"/>
          <w:b/>
          <w:bCs/>
          <w:sz w:val="24"/>
          <w:szCs w:val="24"/>
        </w:rPr>
        <w:t xml:space="preserve">2.2.4. The </w:t>
      </w:r>
      <w:r>
        <w:rPr>
          <w:rFonts w:ascii="Times New Roman" w:hAnsi="Times New Roman"/>
          <w:b/>
          <w:bCs/>
          <w:spacing w:val="1"/>
          <w:sz w:val="24"/>
          <w:szCs w:val="24"/>
          <w:lang w:val="id-ID"/>
        </w:rPr>
        <w:t xml:space="preserve">mediating </w:t>
      </w:r>
      <w:r>
        <w:rPr>
          <w:rFonts w:ascii="Times New Roman" w:hAnsi="Times New Roman"/>
          <w:b/>
          <w:bCs/>
          <w:spacing w:val="1"/>
          <w:sz w:val="24"/>
          <w:szCs w:val="24"/>
        </w:rPr>
        <w:t xml:space="preserve">effect of Information Systems in the Relationship between Environmental Management Accounting Practices and Manufacturing </w:t>
      </w:r>
      <w:r>
        <w:rPr>
          <w:rFonts w:ascii="Times New Roman" w:hAnsi="Times New Roman"/>
          <w:b/>
          <w:bCs/>
          <w:spacing w:val="1"/>
          <w:sz w:val="24"/>
          <w:szCs w:val="24"/>
          <w:lang w:val="id-ID"/>
        </w:rPr>
        <w:t>Company Performance</w:t>
      </w:r>
    </w:p>
    <w:p w14:paraId="6D54902B" w14:textId="77777777" w:rsidR="00852C70" w:rsidRDefault="000A1714">
      <w:pPr>
        <w:widowControl w:val="0"/>
        <w:autoSpaceDE w:val="0"/>
        <w:autoSpaceDN w:val="0"/>
        <w:adjustRightInd w:val="0"/>
        <w:spacing w:after="0" w:line="240" w:lineRule="auto"/>
        <w:jc w:val="both"/>
        <w:rPr>
          <w:rFonts w:ascii="Times New Roman" w:hAnsi="Times New Roman"/>
          <w:bCs/>
          <w:spacing w:val="1"/>
          <w:sz w:val="24"/>
          <w:szCs w:val="24"/>
          <w:lang w:val="id-ID"/>
        </w:rPr>
      </w:pPr>
      <w:r>
        <w:rPr>
          <w:rFonts w:ascii="Times New Roman" w:hAnsi="Times New Roman"/>
          <w:b/>
          <w:bCs/>
          <w:spacing w:val="1"/>
          <w:sz w:val="24"/>
          <w:szCs w:val="24"/>
        </w:rPr>
        <w:tab/>
      </w:r>
      <w:r>
        <w:rPr>
          <w:rFonts w:ascii="Times New Roman" w:hAnsi="Times New Roman"/>
          <w:b/>
          <w:bCs/>
          <w:spacing w:val="1"/>
          <w:sz w:val="24"/>
          <w:szCs w:val="24"/>
        </w:rPr>
        <w:fldChar w:fldCharType="begin"/>
      </w:r>
      <w:r>
        <w:rPr>
          <w:rFonts w:ascii="Times New Roman" w:hAnsi="Times New Roman"/>
          <w:b/>
          <w:bCs/>
          <w:spacing w:val="1"/>
          <w:sz w:val="24"/>
          <w:szCs w:val="24"/>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2019)","manualFormatting":"Mohd Fuzi et al., (2019)","plainTextFormattedCitation":"(Mohd Fuzi et al., 2019)","previouslyFormattedCitation":"(Mohd Fuzi et al., 2019)"},"properties":{"noteIndex":0},"schema":"https://github.com/citation-style-language/schema/raw/master/csl-citation.json"}</w:instrText>
      </w:r>
      <w:r>
        <w:rPr>
          <w:rFonts w:ascii="Times New Roman" w:hAnsi="Times New Roman"/>
          <w:b/>
          <w:bCs/>
          <w:spacing w:val="1"/>
          <w:sz w:val="24"/>
          <w:szCs w:val="24"/>
        </w:rPr>
        <w:fldChar w:fldCharType="separate"/>
      </w:r>
      <w:r>
        <w:rPr>
          <w:rFonts w:ascii="Times New Roman" w:hAnsi="Times New Roman"/>
          <w:bCs/>
          <w:noProof/>
          <w:spacing w:val="1"/>
          <w:sz w:val="24"/>
          <w:szCs w:val="24"/>
        </w:rPr>
        <w:t xml:space="preserve">Mohd Fuzi et al., </w:t>
      </w:r>
      <w:r>
        <w:rPr>
          <w:rFonts w:ascii="Times New Roman" w:hAnsi="Times New Roman"/>
          <w:bCs/>
          <w:noProof/>
          <w:spacing w:val="1"/>
          <w:sz w:val="24"/>
          <w:szCs w:val="24"/>
          <w:lang w:val="id-ID"/>
        </w:rPr>
        <w:t xml:space="preserve">( </w:t>
      </w:r>
      <w:r>
        <w:rPr>
          <w:rFonts w:ascii="Times New Roman" w:hAnsi="Times New Roman"/>
          <w:bCs/>
          <w:noProof/>
          <w:spacing w:val="1"/>
          <w:sz w:val="24"/>
          <w:szCs w:val="24"/>
        </w:rPr>
        <w:t>2019)</w:t>
      </w:r>
      <w:r>
        <w:rPr>
          <w:rFonts w:ascii="Times New Roman" w:hAnsi="Times New Roman"/>
          <w:b/>
          <w:bCs/>
          <w:spacing w:val="1"/>
          <w:sz w:val="24"/>
          <w:szCs w:val="24"/>
        </w:rPr>
        <w:fldChar w:fldCharType="end"/>
      </w:r>
      <w:r>
        <w:rPr>
          <w:rFonts w:ascii="Times New Roman" w:hAnsi="Times New Roman"/>
          <w:b/>
          <w:bCs/>
          <w:spacing w:val="1"/>
          <w:sz w:val="24"/>
          <w:szCs w:val="24"/>
        </w:rPr>
        <w:t xml:space="preserve"> </w:t>
      </w:r>
      <w:r>
        <w:rPr>
          <w:rFonts w:ascii="Times New Roman" w:hAnsi="Times New Roman"/>
          <w:bCs/>
          <w:spacing w:val="1"/>
          <w:sz w:val="24"/>
          <w:szCs w:val="24"/>
          <w:lang w:val="id-ID"/>
        </w:rPr>
        <w:t xml:space="preserve">has conducted research involving 395 manufacturing companies in Malaysia which seeks the indirect </w:t>
      </w:r>
      <w:r>
        <w:rPr>
          <w:rFonts w:ascii="Times New Roman" w:hAnsi="Times New Roman"/>
          <w:bCs/>
          <w:spacing w:val="1"/>
          <w:sz w:val="24"/>
          <w:szCs w:val="24"/>
        </w:rPr>
        <w:t xml:space="preserve">influence of information systems on the relationship between environmental management accounting practices and company performance. </w:t>
      </w:r>
      <w:r>
        <w:rPr>
          <w:rFonts w:ascii="Times New Roman" w:hAnsi="Times New Roman"/>
          <w:bCs/>
          <w:spacing w:val="1"/>
          <w:sz w:val="24"/>
          <w:szCs w:val="24"/>
          <w:lang w:val="id-ID"/>
        </w:rPr>
        <w:t xml:space="preserve">The results show that the role of information systems is proven to mediate </w:t>
      </w:r>
      <w:r>
        <w:rPr>
          <w:rFonts w:ascii="Times New Roman" w:hAnsi="Times New Roman"/>
          <w:bCs/>
          <w:spacing w:val="1"/>
          <w:sz w:val="24"/>
          <w:szCs w:val="24"/>
        </w:rPr>
        <w:t xml:space="preserve">the influence of </w:t>
      </w:r>
      <w:r>
        <w:rPr>
          <w:rFonts w:ascii="Times New Roman" w:hAnsi="Times New Roman"/>
          <w:bCs/>
          <w:spacing w:val="1"/>
          <w:sz w:val="24"/>
          <w:szCs w:val="24"/>
          <w:lang w:val="id-ID"/>
        </w:rPr>
        <w:t xml:space="preserve">environmental management accounting practice variables and company performance. This research states that the implementation of information systems can improve the quality of decision making which has an impact on improving financial management accounting practices and company performance </w:t>
      </w:r>
      <w:r>
        <w:rPr>
          <w:rFonts w:ascii="Times New Roman" w:hAnsi="Times New Roman"/>
          <w:bCs/>
          <w:spacing w:val="1"/>
          <w:sz w:val="24"/>
          <w:szCs w:val="24"/>
          <w:lang w:val="id-ID"/>
        </w:rPr>
        <w:fldChar w:fldCharType="begin"/>
      </w:r>
      <w:r>
        <w:rPr>
          <w:rFonts w:ascii="Times New Roman" w:hAnsi="Times New Roman"/>
          <w:bCs/>
          <w:spacing w:val="1"/>
          <w:sz w:val="24"/>
          <w:szCs w:val="24"/>
          <w:lang w:val="id-ID"/>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2019)","plainTextFormattedCitation":"(Mohd Fuzi et al., 2019)","previouslyFormattedCitation":"(Mohd Fuzi et al., 2019)"},"properties":{"noteIndex":0},"schema":"https://github.com/citation-style-language/schema/raw/master/csl-citation.json"}</w:instrText>
      </w:r>
      <w:r>
        <w:rPr>
          <w:rFonts w:ascii="Times New Roman" w:hAnsi="Times New Roman"/>
          <w:bCs/>
          <w:spacing w:val="1"/>
          <w:sz w:val="24"/>
          <w:szCs w:val="24"/>
          <w:lang w:val="id-ID"/>
        </w:rPr>
        <w:fldChar w:fldCharType="separate"/>
      </w:r>
      <w:r>
        <w:rPr>
          <w:rFonts w:ascii="Times New Roman" w:hAnsi="Times New Roman"/>
          <w:bCs/>
          <w:noProof/>
          <w:spacing w:val="1"/>
          <w:sz w:val="24"/>
          <w:szCs w:val="24"/>
          <w:lang w:val="id-ID"/>
        </w:rPr>
        <w:t xml:space="preserve">(Mohd Fuzi et al., 2019) </w:t>
      </w:r>
      <w:r>
        <w:rPr>
          <w:rFonts w:ascii="Times New Roman" w:hAnsi="Times New Roman"/>
          <w:bCs/>
          <w:spacing w:val="1"/>
          <w:sz w:val="24"/>
          <w:szCs w:val="24"/>
          <w:lang w:val="id-ID"/>
        </w:rPr>
        <w:fldChar w:fldCharType="end"/>
      </w:r>
      <w:r>
        <w:rPr>
          <w:rFonts w:ascii="Times New Roman" w:hAnsi="Times New Roman"/>
          <w:bCs/>
          <w:spacing w:val="1"/>
          <w:sz w:val="24"/>
          <w:szCs w:val="24"/>
          <w:lang w:val="id-ID"/>
        </w:rPr>
        <w:t>. Based on this, it can be concluded that the hypothesis of the relationship between the three variables is as follows:</w:t>
      </w:r>
    </w:p>
    <w:p w14:paraId="602BBC47" w14:textId="77777777" w:rsidR="00852C70" w:rsidRDefault="000A1714">
      <w:pPr>
        <w:widowControl w:val="0"/>
        <w:autoSpaceDE w:val="0"/>
        <w:autoSpaceDN w:val="0"/>
        <w:adjustRightInd w:val="0"/>
        <w:spacing w:before="14" w:after="0" w:line="260" w:lineRule="exact"/>
        <w:jc w:val="both"/>
        <w:rPr>
          <w:rFonts w:ascii="Times New Roman" w:hAnsi="Times New Roman"/>
          <w:color w:val="000000"/>
          <w:sz w:val="24"/>
          <w:szCs w:val="26"/>
          <w:lang w:val="id-ID"/>
        </w:rPr>
      </w:pPr>
      <w:r>
        <w:rPr>
          <w:rFonts w:ascii="Times New Roman" w:hAnsi="Times New Roman"/>
          <w:color w:val="000000"/>
          <w:sz w:val="24"/>
          <w:szCs w:val="26"/>
        </w:rPr>
        <w:t xml:space="preserve">H4. There is influence </w:t>
      </w:r>
      <w:proofErr w:type="spellStart"/>
      <w:r>
        <w:rPr>
          <w:rFonts w:ascii="Times New Roman" w:hAnsi="Times New Roman"/>
          <w:color w:val="000000"/>
          <w:sz w:val="24"/>
          <w:szCs w:val="26"/>
          <w:lang w:val="id-ID"/>
        </w:rPr>
        <w:t>positive</w:t>
      </w:r>
      <w:proofErr w:type="spellEnd"/>
      <w:r>
        <w:rPr>
          <w:rFonts w:ascii="Times New Roman" w:hAnsi="Times New Roman"/>
          <w:color w:val="000000"/>
          <w:sz w:val="24"/>
          <w:szCs w:val="26"/>
          <w:lang w:val="id-ID"/>
        </w:rPr>
        <w:t>,</w:t>
      </w:r>
      <w:r>
        <w:rPr>
          <w:rFonts w:ascii="Times New Roman" w:hAnsi="Times New Roman"/>
          <w:color w:val="000000"/>
          <w:sz w:val="24"/>
          <w:szCs w:val="26"/>
        </w:rPr>
        <w:t xml:space="preserve"> significant , and not direct between </w:t>
      </w:r>
      <w:proofErr w:type="spellStart"/>
      <w:r>
        <w:rPr>
          <w:rFonts w:ascii="Times New Roman" w:hAnsi="Times New Roman"/>
          <w:color w:val="000000"/>
          <w:sz w:val="24"/>
          <w:szCs w:val="26"/>
          <w:lang w:val="id-ID"/>
        </w:rPr>
        <w:t>Environmental</w:t>
      </w:r>
      <w:proofErr w:type="spellEnd"/>
      <w:r>
        <w:rPr>
          <w:rFonts w:ascii="Times New Roman" w:hAnsi="Times New Roman"/>
          <w:color w:val="000000"/>
          <w:sz w:val="24"/>
          <w:szCs w:val="26"/>
          <w:lang w:val="id-ID"/>
        </w:rPr>
        <w:t xml:space="preserve"> </w:t>
      </w:r>
      <w:proofErr w:type="spellStart"/>
      <w:r>
        <w:rPr>
          <w:rFonts w:ascii="Times New Roman" w:hAnsi="Times New Roman"/>
          <w:color w:val="000000"/>
          <w:sz w:val="24"/>
          <w:szCs w:val="26"/>
          <w:lang w:val="id-ID"/>
        </w:rPr>
        <w:t>Management</w:t>
      </w:r>
      <w:proofErr w:type="spellEnd"/>
      <w:r>
        <w:rPr>
          <w:rFonts w:ascii="Times New Roman" w:hAnsi="Times New Roman"/>
          <w:color w:val="000000"/>
          <w:sz w:val="24"/>
          <w:szCs w:val="26"/>
          <w:lang w:val="id-ID"/>
        </w:rPr>
        <w:t xml:space="preserve"> </w:t>
      </w:r>
      <w:proofErr w:type="spellStart"/>
      <w:r>
        <w:rPr>
          <w:rFonts w:ascii="Times New Roman" w:hAnsi="Times New Roman"/>
          <w:color w:val="000000"/>
          <w:sz w:val="24"/>
          <w:szCs w:val="26"/>
          <w:lang w:val="id-ID"/>
        </w:rPr>
        <w:t>Accounting</w:t>
      </w:r>
      <w:proofErr w:type="spellEnd"/>
      <w:r>
        <w:rPr>
          <w:rFonts w:ascii="Times New Roman" w:hAnsi="Times New Roman"/>
          <w:color w:val="000000"/>
          <w:sz w:val="24"/>
          <w:szCs w:val="26"/>
          <w:lang w:val="id-ID"/>
        </w:rPr>
        <w:t xml:space="preserve"> </w:t>
      </w:r>
      <w:r>
        <w:rPr>
          <w:rFonts w:ascii="Times New Roman" w:hAnsi="Times New Roman"/>
          <w:color w:val="000000"/>
          <w:sz w:val="24"/>
          <w:szCs w:val="26"/>
        </w:rPr>
        <w:t xml:space="preserve">, </w:t>
      </w:r>
      <w:proofErr w:type="spellStart"/>
      <w:r>
        <w:rPr>
          <w:rFonts w:ascii="Times New Roman" w:hAnsi="Times New Roman"/>
          <w:color w:val="000000"/>
          <w:sz w:val="24"/>
          <w:szCs w:val="26"/>
          <w:lang w:val="id-ID"/>
        </w:rPr>
        <w:t>Information</w:t>
      </w:r>
      <w:proofErr w:type="spellEnd"/>
      <w:r>
        <w:rPr>
          <w:rFonts w:ascii="Times New Roman" w:hAnsi="Times New Roman"/>
          <w:color w:val="000000"/>
          <w:sz w:val="24"/>
          <w:szCs w:val="26"/>
          <w:lang w:val="id-ID"/>
        </w:rPr>
        <w:t xml:space="preserve"> Systems </w:t>
      </w:r>
      <w:r>
        <w:rPr>
          <w:rFonts w:ascii="Times New Roman" w:hAnsi="Times New Roman"/>
          <w:color w:val="000000"/>
          <w:sz w:val="24"/>
          <w:szCs w:val="26"/>
        </w:rPr>
        <w:t xml:space="preserve">and </w:t>
      </w:r>
      <w:r>
        <w:rPr>
          <w:rFonts w:ascii="Times New Roman" w:hAnsi="Times New Roman"/>
          <w:color w:val="000000"/>
          <w:sz w:val="24"/>
          <w:szCs w:val="26"/>
          <w:lang w:val="id-ID"/>
        </w:rPr>
        <w:t>Company Performance</w:t>
      </w:r>
      <w:r>
        <w:rPr>
          <w:rFonts w:ascii="Times New Roman" w:hAnsi="Times New Roman"/>
          <w:color w:val="000000"/>
          <w:sz w:val="24"/>
          <w:szCs w:val="26"/>
        </w:rPr>
        <w:t xml:space="preserve"> Manufacture</w:t>
      </w:r>
    </w:p>
    <w:p w14:paraId="015DC682" w14:textId="77777777" w:rsidR="00852C70" w:rsidRDefault="00852C70" w:rsidP="005C4F21">
      <w:pPr>
        <w:widowControl w:val="0"/>
        <w:autoSpaceDE w:val="0"/>
        <w:autoSpaceDN w:val="0"/>
        <w:adjustRightInd w:val="0"/>
        <w:spacing w:before="14" w:after="0" w:line="260" w:lineRule="exact"/>
        <w:jc w:val="right"/>
        <w:rPr>
          <w:rFonts w:ascii="Times New Roman" w:hAnsi="Times New Roman"/>
          <w:color w:val="000000"/>
          <w:sz w:val="24"/>
          <w:szCs w:val="26"/>
          <w:lang w:val="id-ID"/>
        </w:rPr>
      </w:pPr>
    </w:p>
    <w:p w14:paraId="0595179C" w14:textId="77777777" w:rsidR="00852C70" w:rsidRDefault="000A1714">
      <w:pPr>
        <w:widowControl w:val="0"/>
        <w:autoSpaceDE w:val="0"/>
        <w:autoSpaceDN w:val="0"/>
        <w:adjustRightInd w:val="0"/>
        <w:spacing w:after="0" w:line="240" w:lineRule="auto"/>
        <w:ind w:left="101"/>
        <w:rPr>
          <w:rFonts w:ascii="Times New Roman" w:hAnsi="Times New Roman"/>
          <w:bCs/>
          <w:sz w:val="24"/>
          <w:szCs w:val="24"/>
          <w:lang w:val="id-ID"/>
        </w:rPr>
      </w:pPr>
      <w:r>
        <w:rPr>
          <w:rFonts w:ascii="Times New Roman" w:hAnsi="Times New Roman"/>
          <w:b/>
          <w:bCs/>
          <w:sz w:val="24"/>
          <w:szCs w:val="24"/>
          <w:lang w:val="id-ID"/>
        </w:rPr>
        <w:t xml:space="preserve">2.2. </w:t>
      </w:r>
      <w:r>
        <w:rPr>
          <w:rFonts w:ascii="Times New Roman" w:hAnsi="Times New Roman"/>
          <w:b/>
          <w:bCs/>
          <w:sz w:val="24"/>
          <w:szCs w:val="24"/>
          <w:lang w:val="id-ID"/>
        </w:rPr>
        <w:tab/>
        <w:t>Research Model</w:t>
      </w:r>
    </w:p>
    <w:p w14:paraId="43B77FDC" w14:textId="77777777" w:rsidR="00852C70" w:rsidRDefault="000A1714">
      <w:pPr>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2" behindDoc="0" locked="0" layoutInCell="1" allowOverlap="1" wp14:anchorId="16200D76" wp14:editId="66B128E7">
                <wp:simplePos x="0" y="0"/>
                <wp:positionH relativeFrom="column">
                  <wp:posOffset>1610360</wp:posOffset>
                </wp:positionH>
                <wp:positionV relativeFrom="paragraph">
                  <wp:posOffset>2349500</wp:posOffset>
                </wp:positionV>
                <wp:extent cx="2680970" cy="419735"/>
                <wp:effectExtent l="0" t="0" r="0" b="0"/>
                <wp:wrapNone/>
                <wp:docPr id="1029"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0970" cy="419735"/>
                        </a:xfrm>
                        <a:prstGeom prst="rect">
                          <a:avLst/>
                        </a:prstGeom>
                        <a:solidFill>
                          <a:srgbClr val="FFFFFF"/>
                        </a:solidFill>
                        <a:ln>
                          <a:noFill/>
                        </a:ln>
                      </wps:spPr>
                      <wps:txbx>
                        <w:txbxContent>
                          <w:p w14:paraId="56700FF1" w14:textId="77777777" w:rsidR="000A1714" w:rsidRDefault="000A1714">
                            <w:pPr>
                              <w:jc w:val="center"/>
                              <w:rPr>
                                <w:rFonts w:ascii="Times New Roman" w:hAnsi="Times New Roman"/>
                                <w:sz w:val="24"/>
                                <w:szCs w:val="24"/>
                                <w:lang w:val="id-ID"/>
                              </w:rPr>
                            </w:pPr>
                            <w:r>
                              <w:rPr>
                                <w:rFonts w:ascii="Times New Roman" w:hAnsi="Times New Roman"/>
                                <w:b/>
                                <w:sz w:val="24"/>
                                <w:szCs w:val="24"/>
                                <w:lang w:val="id-ID"/>
                              </w:rPr>
                              <w:t>Gambar 2</w:t>
                            </w:r>
                            <w:r>
                              <w:rPr>
                                <w:rFonts w:ascii="Times New Roman" w:hAnsi="Times New Roman"/>
                                <w:sz w:val="24"/>
                                <w:szCs w:val="24"/>
                                <w:lang w:val="id-ID"/>
                              </w:rPr>
                              <w:t>: Kerangka Model Penelitian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200D76" id=" 53" o:spid="_x0000_s1026" style="position:absolute;margin-left:126.8pt;margin-top:185pt;width:211.1pt;height:33.0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" stroked="f">
                <v:textbox>
                  <w:txbxContent>
                    <w:p w14:paraId="56700FF1" w14:textId="77777777" w:rsidR="000A1714" w:rsidRDefault="000A1714">
                      <w:pPr>
                        <w:jc w:val="center"/>
                        <w:rPr>
                          <w:rFonts w:ascii="Times New Roman" w:hAnsi="Times New Roman"/>
                          <w:sz w:val="24"/>
                          <w:szCs w:val="24"/>
                          <w:lang w:val="id-ID"/>
                        </w:rPr>
                      </w:pPr>
                      <w:r>
                        <w:rPr>
                          <w:rFonts w:ascii="Times New Roman" w:hAnsi="Times New Roman"/>
                          <w:b/>
                          <w:sz w:val="24"/>
                          <w:szCs w:val="24"/>
                          <w:lang w:val="id-ID"/>
                        </w:rPr>
                        <w:t>Gambar 2</w:t>
                      </w:r>
                      <w:r>
                        <w:rPr>
                          <w:rFonts w:ascii="Times New Roman" w:hAnsi="Times New Roman"/>
                          <w:sz w:val="24"/>
                          <w:szCs w:val="24"/>
                          <w:lang w:val="id-ID"/>
                        </w:rPr>
                        <w:t>: Kerangka Model Penelitian</w:t>
                      </w:r>
                    </w:p>
                  </w:txbxContent>
                </v:textbox>
              </v:rect>
            </w:pict>
          </mc:Fallback>
        </mc:AlternateContent>
      </w:r>
      <w:r>
        <w:rPr>
          <w:rFonts w:ascii="Times New Roman" w:hAnsi="Times New Roman"/>
          <w:noProof/>
          <w:sz w:val="24"/>
          <w:szCs w:val="24"/>
        </w:rPr>
        <mc:AlternateContent>
          <mc:Choice Requires="wps">
            <w:drawing>
              <wp:anchor distT="0" distB="0" distL="0" distR="0" simplePos="0" relativeHeight="4" behindDoc="0" locked="0" layoutInCell="1" allowOverlap="1" wp14:anchorId="357B193C" wp14:editId="4E83DB2D">
                <wp:simplePos x="0" y="0"/>
                <wp:positionH relativeFrom="column">
                  <wp:posOffset>3817620</wp:posOffset>
                </wp:positionH>
                <wp:positionV relativeFrom="paragraph">
                  <wp:posOffset>519430</wp:posOffset>
                </wp:positionV>
                <wp:extent cx="1671320" cy="626745"/>
                <wp:effectExtent l="0" t="0" r="5080" b="1905"/>
                <wp:wrapNone/>
                <wp:docPr id="1030"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1320" cy="626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C30048" w14:textId="77777777" w:rsidR="000A1714" w:rsidRDefault="000A1714">
                            <w:pPr>
                              <w:jc w:val="center"/>
                              <w:rPr>
                                <w:rFonts w:ascii="Times New Roman" w:hAnsi="Times New Roman"/>
                                <w:sz w:val="24"/>
                                <w:szCs w:val="24"/>
                                <w:lang w:val="id-ID"/>
                              </w:rPr>
                            </w:pPr>
                            <w:r>
                              <w:rPr>
                                <w:rFonts w:ascii="Times New Roman" w:hAnsi="Times New Roman"/>
                                <w:sz w:val="24"/>
                                <w:szCs w:val="24"/>
                                <w:lang w:val="id-ID"/>
                              </w:rPr>
                              <w:t xml:space="preserve">Kinerja Perusahaan </w:t>
                            </w:r>
                            <w:r>
                              <w:rPr>
                                <w:rFonts w:ascii="Times New Roman" w:hAnsi="Times New Roman"/>
                                <w:sz w:val="24"/>
                                <w:szCs w:val="24"/>
                              </w:rPr>
                              <w:t xml:space="preserve"> Manufakrur</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7B193C" id=" 32" o:spid="_x0000_s1027" style="position:absolute;margin-left:300.6pt;margin-top:40.9pt;width:131.6pt;height:49.3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">
                <v:path arrowok="t"/>
                <v:textbox>
                  <w:txbxContent>
                    <w:p w14:paraId="0EC30048" w14:textId="77777777" w:rsidR="000A1714" w:rsidRDefault="000A1714">
                      <w:pPr>
                        <w:jc w:val="center"/>
                        <w:rPr>
                          <w:rFonts w:ascii="Times New Roman" w:hAnsi="Times New Roman"/>
                          <w:sz w:val="24"/>
                          <w:szCs w:val="24"/>
                          <w:lang w:val="id-ID"/>
                        </w:rPr>
                      </w:pPr>
                      <w:r>
                        <w:rPr>
                          <w:rFonts w:ascii="Times New Roman" w:hAnsi="Times New Roman"/>
                          <w:sz w:val="24"/>
                          <w:szCs w:val="24"/>
                          <w:lang w:val="id-ID"/>
                        </w:rPr>
                        <w:t xml:space="preserve">Kinerja Perusahaan </w:t>
                      </w:r>
                      <w:r>
                        <w:rPr>
                          <w:rFonts w:ascii="Times New Roman" w:hAnsi="Times New Roman"/>
                          <w:sz w:val="24"/>
                          <w:szCs w:val="24"/>
                        </w:rPr>
                        <w:t xml:space="preserve"> Manufakrur</w:t>
                      </w:r>
                    </w:p>
                  </w:txbxContent>
                </v:textbox>
              </v:rect>
            </w:pict>
          </mc:Fallback>
        </mc:AlternateContent>
      </w:r>
      <w:r>
        <w:rPr>
          <w:rFonts w:ascii="Times New Roman" w:hAnsi="Times New Roman"/>
          <w:noProof/>
          <w:sz w:val="24"/>
          <w:szCs w:val="24"/>
        </w:rPr>
        <mc:AlternateContent>
          <mc:Choice Requires="wps">
            <w:drawing>
              <wp:anchor distT="0" distB="0" distL="0" distR="0" simplePos="0" relativeHeight="7" behindDoc="0" locked="0" layoutInCell="1" allowOverlap="1" wp14:anchorId="337C3905" wp14:editId="3FA44F55">
                <wp:simplePos x="0" y="0"/>
                <wp:positionH relativeFrom="column">
                  <wp:posOffset>4003039</wp:posOffset>
                </wp:positionH>
                <wp:positionV relativeFrom="paragraph">
                  <wp:posOffset>1565910</wp:posOffset>
                </wp:positionV>
                <wp:extent cx="566420" cy="406399"/>
                <wp:effectExtent l="0" t="0" r="0" b="0"/>
                <wp:wrapNone/>
                <wp:docPr id="1031"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406399"/>
                        </a:xfrm>
                        <a:prstGeom prst="rect">
                          <a:avLst/>
                        </a:prstGeom>
                        <a:solidFill>
                          <a:srgbClr val="FFFFFF"/>
                        </a:solidFill>
                        <a:ln>
                          <a:noFill/>
                        </a:ln>
                      </wps:spPr>
                      <wps:txbx>
                        <w:txbxContent>
                          <w:p w14:paraId="7F590A5F" w14:textId="77777777" w:rsidR="000A1714" w:rsidRDefault="000A1714">
                            <w:pPr>
                              <w:rPr>
                                <w:rFonts w:ascii="Times New Roman" w:hAnsi="Times New Roman"/>
                                <w:sz w:val="24"/>
                                <w:szCs w:val="24"/>
                                <w:lang w:val="id-ID"/>
                              </w:rPr>
                            </w:pPr>
                            <w:r>
                              <w:rPr>
                                <w:rFonts w:ascii="Times New Roman" w:hAnsi="Times New Roman"/>
                                <w:sz w:val="24"/>
                                <w:szCs w:val="24"/>
                                <w:lang w:val="id-ID"/>
                              </w:rPr>
                              <w:t>H3</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7C3905" id=" 49" o:spid="_x0000_s1028" style="position:absolute;margin-left:315.2pt;margin-top:123.3pt;width:44.6pt;height:32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" stroked="f">
                <v:textbox>
                  <w:txbxContent>
                    <w:p w14:paraId="7F590A5F" w14:textId="77777777" w:rsidR="000A1714" w:rsidRDefault="000A1714">
                      <w:pPr>
                        <w:rPr>
                          <w:rFonts w:ascii="Times New Roman" w:hAnsi="Times New Roman"/>
                          <w:sz w:val="24"/>
                          <w:szCs w:val="24"/>
                          <w:lang w:val="id-ID"/>
                        </w:rPr>
                      </w:pPr>
                      <w:r>
                        <w:rPr>
                          <w:rFonts w:ascii="Times New Roman" w:hAnsi="Times New Roman"/>
                          <w:sz w:val="24"/>
                          <w:szCs w:val="24"/>
                          <w:lang w:val="id-ID"/>
                        </w:rPr>
                        <w:t>H3</w:t>
                      </w:r>
                    </w:p>
                  </w:txbxContent>
                </v:textbox>
              </v:rect>
            </w:pict>
          </mc:Fallback>
        </mc:AlternateContent>
      </w:r>
      <w:r>
        <w:rPr>
          <w:rFonts w:ascii="Times New Roman" w:hAnsi="Times New Roman"/>
          <w:noProof/>
          <w:sz w:val="24"/>
          <w:szCs w:val="24"/>
        </w:rPr>
        <mc:AlternateContent>
          <mc:Choice Requires="wps">
            <w:drawing>
              <wp:anchor distT="0" distB="0" distL="0" distR="0" simplePos="0" relativeHeight="8" behindDoc="0" locked="0" layoutInCell="1" allowOverlap="1" wp14:anchorId="1D84338B" wp14:editId="73BA0FCB">
                <wp:simplePos x="0" y="0"/>
                <wp:positionH relativeFrom="column">
                  <wp:posOffset>1610360</wp:posOffset>
                </wp:positionH>
                <wp:positionV relativeFrom="paragraph">
                  <wp:posOffset>1443355</wp:posOffset>
                </wp:positionV>
                <wp:extent cx="390525" cy="301624"/>
                <wp:effectExtent l="0" t="0" r="0" b="0"/>
                <wp:wrapNone/>
                <wp:docPr id="1032"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01624"/>
                        </a:xfrm>
                        <a:prstGeom prst="rect">
                          <a:avLst/>
                        </a:prstGeom>
                        <a:solidFill>
                          <a:srgbClr val="FFFFFF"/>
                        </a:solidFill>
                        <a:ln>
                          <a:noFill/>
                        </a:ln>
                      </wps:spPr>
                      <wps:txbx>
                        <w:txbxContent>
                          <w:p w14:paraId="2CDE5410" w14:textId="77777777" w:rsidR="000A1714" w:rsidRDefault="000A1714">
                            <w:pPr>
                              <w:rPr>
                                <w:rFonts w:ascii="Times New Roman" w:hAnsi="Times New Roman"/>
                                <w:sz w:val="24"/>
                                <w:szCs w:val="24"/>
                                <w:lang w:val="id-ID"/>
                              </w:rPr>
                            </w:pPr>
                            <w:r>
                              <w:rPr>
                                <w:rFonts w:ascii="Times New Roman" w:hAnsi="Times New Roman"/>
                                <w:sz w:val="24"/>
                                <w:szCs w:val="24"/>
                                <w:lang w:val="id-ID"/>
                              </w:rPr>
                              <w:t>H2</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84338B" id=" 48" o:spid="_x0000_s1029" style="position:absolute;margin-left:126.8pt;margin-top:113.65pt;width:30.75pt;height:23.75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" stroked="f">
                <v:textbox>
                  <w:txbxContent>
                    <w:p w14:paraId="2CDE5410" w14:textId="77777777" w:rsidR="000A1714" w:rsidRDefault="000A1714">
                      <w:pPr>
                        <w:rPr>
                          <w:rFonts w:ascii="Times New Roman" w:hAnsi="Times New Roman"/>
                          <w:sz w:val="24"/>
                          <w:szCs w:val="24"/>
                          <w:lang w:val="id-ID"/>
                        </w:rPr>
                      </w:pPr>
                      <w:r>
                        <w:rPr>
                          <w:rFonts w:ascii="Times New Roman" w:hAnsi="Times New Roman"/>
                          <w:sz w:val="24"/>
                          <w:szCs w:val="24"/>
                          <w:lang w:val="id-ID"/>
                        </w:rPr>
                        <w:t>H2</w:t>
                      </w:r>
                    </w:p>
                  </w:txbxContent>
                </v:textbox>
              </v:rect>
            </w:pict>
          </mc:Fallback>
        </mc:AlternateContent>
      </w:r>
      <w:r>
        <w:rPr>
          <w:rFonts w:ascii="Times New Roman" w:hAnsi="Times New Roman"/>
          <w:noProof/>
          <w:sz w:val="24"/>
          <w:szCs w:val="24"/>
        </w:rPr>
        <mc:AlternateContent>
          <mc:Choice Requires="wps">
            <w:drawing>
              <wp:anchor distT="0" distB="0" distL="0" distR="0" simplePos="0" relativeHeight="9" behindDoc="0" locked="0" layoutInCell="1" allowOverlap="1" wp14:anchorId="43FCD6B5" wp14:editId="55C5B040">
                <wp:simplePos x="0" y="0"/>
                <wp:positionH relativeFrom="column">
                  <wp:posOffset>2773680</wp:posOffset>
                </wp:positionH>
                <wp:positionV relativeFrom="paragraph">
                  <wp:posOffset>446404</wp:posOffset>
                </wp:positionV>
                <wp:extent cx="570229" cy="429895"/>
                <wp:effectExtent l="0" t="0" r="0" b="0"/>
                <wp:wrapNone/>
                <wp:docPr id="1033"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29" cy="429895"/>
                        </a:xfrm>
                        <a:prstGeom prst="rect">
                          <a:avLst/>
                        </a:prstGeom>
                        <a:solidFill>
                          <a:srgbClr val="FFFFFF"/>
                        </a:solidFill>
                        <a:ln>
                          <a:noFill/>
                        </a:ln>
                      </wps:spPr>
                      <wps:txbx>
                        <w:txbxContent>
                          <w:p w14:paraId="3906043C" w14:textId="77777777" w:rsidR="000A1714" w:rsidRDefault="000A1714">
                            <w:pPr>
                              <w:rPr>
                                <w:rFonts w:ascii="Times New Roman" w:hAnsi="Times New Roman"/>
                                <w:sz w:val="24"/>
                                <w:szCs w:val="24"/>
                                <w:lang w:val="id-ID"/>
                              </w:rPr>
                            </w:pPr>
                            <w:r>
                              <w:rPr>
                                <w:rFonts w:ascii="Times New Roman" w:hAnsi="Times New Roman"/>
                                <w:sz w:val="24"/>
                                <w:szCs w:val="24"/>
                                <w:lang w:val="id-ID"/>
                              </w:rPr>
                              <w:t>H1</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CD6B5" id=" 45" o:spid="_x0000_s1030" style="position:absolute;margin-left:218.4pt;margin-top:35.15pt;width:44.9pt;height:33.8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" stroked="f">
                <v:textbox>
                  <w:txbxContent>
                    <w:p w14:paraId="3906043C" w14:textId="77777777" w:rsidR="000A1714" w:rsidRDefault="000A1714">
                      <w:pPr>
                        <w:rPr>
                          <w:rFonts w:ascii="Times New Roman" w:hAnsi="Times New Roman"/>
                          <w:sz w:val="24"/>
                          <w:szCs w:val="24"/>
                          <w:lang w:val="id-ID"/>
                        </w:rPr>
                      </w:pPr>
                      <w:r>
                        <w:rPr>
                          <w:rFonts w:ascii="Times New Roman" w:hAnsi="Times New Roman"/>
                          <w:sz w:val="24"/>
                          <w:szCs w:val="24"/>
                          <w:lang w:val="id-ID"/>
                        </w:rPr>
                        <w:t>H1</w:t>
                      </w:r>
                    </w:p>
                  </w:txbxContent>
                </v:textbox>
              </v:rect>
            </w:pict>
          </mc:Fallback>
        </mc:AlternateContent>
      </w:r>
      <w:r>
        <w:rPr>
          <w:rFonts w:ascii="Times New Roman" w:hAnsi="Times New Roman"/>
          <w:noProof/>
          <w:sz w:val="24"/>
          <w:szCs w:val="24"/>
        </w:rPr>
        <mc:AlternateContent>
          <mc:Choice Requires="wps">
            <w:drawing>
              <wp:anchor distT="0" distB="0" distL="0" distR="0" simplePos="0" relativeHeight="12" behindDoc="0" locked="0" layoutInCell="1" allowOverlap="1" wp14:anchorId="1C076091" wp14:editId="621061EE">
                <wp:simplePos x="0" y="0"/>
                <wp:positionH relativeFrom="column">
                  <wp:posOffset>3623945</wp:posOffset>
                </wp:positionH>
                <wp:positionV relativeFrom="paragraph">
                  <wp:posOffset>1180465</wp:posOffset>
                </wp:positionV>
                <wp:extent cx="696595" cy="845819"/>
                <wp:effectExtent l="0" t="38100" r="27305" b="11430"/>
                <wp:wrapNone/>
                <wp:docPr id="1034" nam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595" cy="84581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34" type="#_x0000_t32" filled="f" style="position:absolute;margin-left:285.35pt;margin-top:92.95pt;width:54.85pt;height:66.6pt;z-index:12;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r>
        <w:rPr>
          <w:rFonts w:ascii="Times New Roman" w:hAnsi="Times New Roman"/>
          <w:noProof/>
          <w:sz w:val="24"/>
          <w:szCs w:val="24"/>
        </w:rPr>
        <mc:AlternateContent>
          <mc:Choice Requires="wps">
            <w:drawing>
              <wp:anchor distT="0" distB="0" distL="0" distR="0" simplePos="0" relativeHeight="11" behindDoc="0" locked="0" layoutInCell="1" allowOverlap="1" wp14:anchorId="2989DDB3" wp14:editId="290AE7A2">
                <wp:simplePos x="0" y="0"/>
                <wp:positionH relativeFrom="column">
                  <wp:posOffset>1550035</wp:posOffset>
                </wp:positionH>
                <wp:positionV relativeFrom="paragraph">
                  <wp:posOffset>1146175</wp:posOffset>
                </wp:positionV>
                <wp:extent cx="762000" cy="812164"/>
                <wp:effectExtent l="0" t="0" r="57150" b="26035"/>
                <wp:wrapNone/>
                <wp:docPr id="1035"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812164"/>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5" type="#_x0000_t32" filled="f" style="position:absolute;margin-left:122.05pt;margin-top:90.25pt;width:60.0pt;height:63.95pt;z-index:11;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Times New Roman" w:hAnsi="Times New Roman"/>
          <w:noProof/>
          <w:sz w:val="24"/>
          <w:szCs w:val="24"/>
        </w:rPr>
        <mc:AlternateContent>
          <mc:Choice Requires="wps">
            <w:drawing>
              <wp:anchor distT="0" distB="0" distL="0" distR="0" simplePos="0" relativeHeight="3" behindDoc="0" locked="0" layoutInCell="1" allowOverlap="1" wp14:anchorId="2264EFE5" wp14:editId="1553E6F5">
                <wp:simplePos x="0" y="0"/>
                <wp:positionH relativeFrom="column">
                  <wp:posOffset>573405</wp:posOffset>
                </wp:positionH>
                <wp:positionV relativeFrom="paragraph">
                  <wp:posOffset>478790</wp:posOffset>
                </wp:positionV>
                <wp:extent cx="1398905" cy="667385"/>
                <wp:effectExtent l="0" t="0" r="0" b="0"/>
                <wp:wrapNone/>
                <wp:docPr id="1036"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905" cy="667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3B62EE" w14:textId="77777777" w:rsidR="000A1714" w:rsidRDefault="000A1714">
                            <w:pPr>
                              <w:jc w:val="center"/>
                              <w:rPr>
                                <w:rFonts w:ascii="Times New Roman" w:hAnsi="Times New Roman"/>
                                <w:sz w:val="24"/>
                                <w:szCs w:val="24"/>
                                <w:lang w:val="id-ID"/>
                              </w:rPr>
                            </w:pPr>
                            <w:r>
                              <w:rPr>
                                <w:rFonts w:ascii="Times New Roman" w:hAnsi="Times New Roman"/>
                                <w:sz w:val="24"/>
                                <w:szCs w:val="24"/>
                                <w:lang w:val="id-ID"/>
                              </w:rPr>
                              <w:t>Praktik Akuntansi Manajemen Lingkungan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64EFE5" id=" 31" o:spid="_x0000_s1031" style="position:absolute;margin-left:45.15pt;margin-top:37.7pt;width:110.15pt;height:52.5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">
                <v:path arrowok="t"/>
                <v:textbox>
                  <w:txbxContent>
                    <w:p w14:paraId="623B62EE" w14:textId="77777777" w:rsidR="000A1714" w:rsidRDefault="000A1714">
                      <w:pPr>
                        <w:jc w:val="center"/>
                        <w:rPr>
                          <w:rFonts w:ascii="Times New Roman" w:hAnsi="Times New Roman"/>
                          <w:sz w:val="24"/>
                          <w:szCs w:val="24"/>
                          <w:lang w:val="id-ID"/>
                        </w:rPr>
                      </w:pPr>
                      <w:r>
                        <w:rPr>
                          <w:rFonts w:ascii="Times New Roman" w:hAnsi="Times New Roman"/>
                          <w:sz w:val="24"/>
                          <w:szCs w:val="24"/>
                          <w:lang w:val="id-ID"/>
                        </w:rPr>
                        <w:t>Praktik Akuntansi Manajemen Lingkungan</w:t>
                      </w:r>
                    </w:p>
                  </w:txbxContent>
                </v:textbox>
              </v:rect>
            </w:pict>
          </mc:Fallback>
        </mc:AlternateContent>
      </w:r>
      <w:r>
        <w:rPr>
          <w:rFonts w:ascii="Times New Roman" w:hAnsi="Times New Roman"/>
          <w:noProof/>
          <w:sz w:val="24"/>
          <w:szCs w:val="24"/>
        </w:rPr>
        <mc:AlternateContent>
          <mc:Choice Requires="wps">
            <w:drawing>
              <wp:anchor distT="0" distB="0" distL="0" distR="0" simplePos="0" relativeHeight="5" behindDoc="0" locked="0" layoutInCell="1" allowOverlap="1" wp14:anchorId="4ECFF269" wp14:editId="1A9382D5">
                <wp:simplePos x="0" y="0"/>
                <wp:positionH relativeFrom="column">
                  <wp:posOffset>2312035</wp:posOffset>
                </wp:positionH>
                <wp:positionV relativeFrom="paragraph">
                  <wp:posOffset>1856105</wp:posOffset>
                </wp:positionV>
                <wp:extent cx="1286510" cy="371475"/>
                <wp:effectExtent l="0" t="0" r="8890" b="9525"/>
                <wp:wrapNone/>
                <wp:docPr id="1037"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51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4FD5E0" w14:textId="77777777" w:rsidR="000A1714" w:rsidRDefault="000A1714">
                            <w:pPr>
                              <w:jc w:val="center"/>
                              <w:rPr>
                                <w:rFonts w:ascii="Times New Roman" w:hAnsi="Times New Roman"/>
                                <w:sz w:val="24"/>
                                <w:szCs w:val="24"/>
                                <w:lang w:val="id-ID"/>
                              </w:rPr>
                            </w:pPr>
                            <w:r>
                              <w:rPr>
                                <w:rFonts w:ascii="Times New Roman" w:hAnsi="Times New Roman"/>
                                <w:sz w:val="24"/>
                                <w:szCs w:val="24"/>
                                <w:lang w:val="id-ID"/>
                              </w:rPr>
                              <w:t>Sistem Informasi</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CFF269" id=" 33" o:spid="_x0000_s1032" style="position:absolute;margin-left:182.05pt;margin-top:146.15pt;width:101.3pt;height:29.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">
                <v:path arrowok="t"/>
                <v:textbox>
                  <w:txbxContent>
                    <w:p w14:paraId="464FD5E0" w14:textId="77777777" w:rsidR="000A1714" w:rsidRDefault="000A1714">
                      <w:pPr>
                        <w:jc w:val="center"/>
                        <w:rPr>
                          <w:rFonts w:ascii="Times New Roman" w:hAnsi="Times New Roman"/>
                          <w:sz w:val="24"/>
                          <w:szCs w:val="24"/>
                          <w:lang w:val="id-ID"/>
                        </w:rPr>
                      </w:pPr>
                      <w:r>
                        <w:rPr>
                          <w:rFonts w:ascii="Times New Roman" w:hAnsi="Times New Roman"/>
                          <w:sz w:val="24"/>
                          <w:szCs w:val="24"/>
                          <w:lang w:val="id-ID"/>
                        </w:rPr>
                        <w:t>Sistem Informasi</w:t>
                      </w:r>
                    </w:p>
                  </w:txbxContent>
                </v:textbox>
              </v:rect>
            </w:pict>
          </mc:Fallback>
        </mc:AlternateContent>
      </w:r>
      <w:r>
        <w:rPr>
          <w:rFonts w:ascii="Times New Roman" w:hAnsi="Times New Roman"/>
          <w:sz w:val="24"/>
          <w:szCs w:val="24"/>
          <w:lang w:val="id-ID"/>
        </w:rPr>
        <w:tab/>
        <w:t xml:space="preserve">Based on the hypothesis that has been determined, the research method is described as </w:t>
      </w:r>
      <w:r>
        <w:rPr>
          <w:rFonts w:ascii="Times New Roman" w:hAnsi="Times New Roman"/>
          <w:sz w:val="24"/>
          <w:szCs w:val="24"/>
        </w:rPr>
        <w:t>follows</w:t>
      </w:r>
    </w:p>
    <w:p w14:paraId="71B0E522" w14:textId="77777777" w:rsidR="00852C70" w:rsidRDefault="000A1714">
      <w:pPr>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10" behindDoc="0" locked="0" layoutInCell="1" allowOverlap="1" wp14:anchorId="280EF34E" wp14:editId="6098CD94">
                <wp:simplePos x="0" y="0"/>
                <wp:positionH relativeFrom="column">
                  <wp:posOffset>1936750</wp:posOffset>
                </wp:positionH>
                <wp:positionV relativeFrom="paragraph">
                  <wp:posOffset>308610</wp:posOffset>
                </wp:positionV>
                <wp:extent cx="1880869" cy="634"/>
                <wp:effectExtent l="0" t="76200" r="0" b="75565"/>
                <wp:wrapNone/>
                <wp:docPr id="1038"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69" cy="634"/>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8" type="#_x0000_t32" filled="f" style="position:absolute;margin-left:152.5pt;margin-top:24.3pt;width:148.1pt;height:0.05pt;z-index:10;mso-position-horizontal-relative:text;mso-position-vertical-relative:text;mso-width-percent:0;mso-height-percent:0;mso-width-relative:page;mso-height-relative:page;mso-wrap-distance-left:0.0pt;mso-wrap-distance-right:0.0pt;visibility:visible;">
                <v:stroke endarrow="block"/>
                <v:fill/>
              </v:shape>
            </w:pict>
          </mc:Fallback>
        </mc:AlternateContent>
      </w:r>
    </w:p>
    <w:p w14:paraId="2A532B82" w14:textId="77777777" w:rsidR="00852C70" w:rsidRDefault="00852C70">
      <w:pPr>
        <w:rPr>
          <w:rFonts w:ascii="Times New Roman" w:hAnsi="Times New Roman"/>
          <w:sz w:val="24"/>
          <w:szCs w:val="24"/>
        </w:rPr>
      </w:pPr>
    </w:p>
    <w:p w14:paraId="54FE80BA" w14:textId="6836436C" w:rsidR="00B65E81" w:rsidRDefault="00B65E81">
      <w:pPr>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6" behindDoc="0" locked="0" layoutInCell="1" allowOverlap="1" wp14:anchorId="6113833A" wp14:editId="4B4CF085">
                <wp:simplePos x="0" y="0"/>
                <wp:positionH relativeFrom="column">
                  <wp:posOffset>2774481</wp:posOffset>
                </wp:positionH>
                <wp:positionV relativeFrom="paragraph">
                  <wp:posOffset>261537</wp:posOffset>
                </wp:positionV>
                <wp:extent cx="461644" cy="334010"/>
                <wp:effectExtent l="0" t="0" r="0" b="0"/>
                <wp:wrapNone/>
                <wp:docPr id="1039"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4" cy="334010"/>
                        </a:xfrm>
                        <a:prstGeom prst="rect">
                          <a:avLst/>
                        </a:prstGeom>
                        <a:solidFill>
                          <a:srgbClr val="FFFFFF"/>
                        </a:solidFill>
                        <a:ln>
                          <a:noFill/>
                        </a:ln>
                      </wps:spPr>
                      <wps:txbx>
                        <w:txbxContent>
                          <w:p w14:paraId="6FFC7D8E" w14:textId="77777777" w:rsidR="000A1714" w:rsidRDefault="000A1714">
                            <w:pPr>
                              <w:rPr>
                                <w:rFonts w:ascii="Times New Roman" w:hAnsi="Times New Roman"/>
                                <w:sz w:val="24"/>
                                <w:szCs w:val="24"/>
                                <w:lang w:val="id-ID"/>
                              </w:rPr>
                            </w:pPr>
                            <w:r>
                              <w:rPr>
                                <w:rFonts w:ascii="Times New Roman" w:hAnsi="Times New Roman"/>
                                <w:sz w:val="24"/>
                                <w:szCs w:val="24"/>
                                <w:lang w:val="id-ID"/>
                              </w:rPr>
                              <w:t>H4</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13833A" id=" 50" o:spid="_x0000_s1037" style="position:absolute;margin-left:218.45pt;margin-top:20.6pt;width:36.35pt;height:26.3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" stroked="f">
                <v:textbox>
                  <w:txbxContent>
                    <w:p w14:paraId="6FFC7D8E" w14:textId="77777777" w:rsidR="000A1714" w:rsidRDefault="000A1714">
                      <w:pPr>
                        <w:rPr>
                          <w:rFonts w:ascii="Times New Roman" w:hAnsi="Times New Roman"/>
                          <w:sz w:val="24"/>
                          <w:szCs w:val="24"/>
                          <w:lang w:val="id-ID"/>
                        </w:rPr>
                      </w:pPr>
                      <w:r>
                        <w:rPr>
                          <w:rFonts w:ascii="Times New Roman" w:hAnsi="Times New Roman"/>
                          <w:sz w:val="24"/>
                          <w:szCs w:val="24"/>
                          <w:lang w:val="id-ID"/>
                        </w:rPr>
                        <w:t>H4</w:t>
                      </w:r>
                    </w:p>
                  </w:txbxContent>
                </v:textbox>
              </v:rect>
            </w:pict>
          </mc:Fallback>
        </mc:AlternateContent>
      </w:r>
    </w:p>
    <w:p w14:paraId="24C741C9" w14:textId="3F24A0D1" w:rsidR="00B65E81" w:rsidRDefault="00B65E81">
      <w:pPr>
        <w:rPr>
          <w:rFonts w:ascii="Times New Roman" w:hAnsi="Times New Roman"/>
          <w:sz w:val="24"/>
          <w:szCs w:val="24"/>
        </w:rPr>
      </w:pPr>
    </w:p>
    <w:p w14:paraId="53B8F244" w14:textId="04C579C7" w:rsidR="00852C70" w:rsidRDefault="00852C70">
      <w:pPr>
        <w:rPr>
          <w:rFonts w:ascii="Times New Roman" w:hAnsi="Times New Roman"/>
          <w:sz w:val="24"/>
          <w:szCs w:val="24"/>
        </w:rPr>
      </w:pPr>
    </w:p>
    <w:p w14:paraId="26DD7E38" w14:textId="77777777" w:rsidR="00B65E81" w:rsidRDefault="00B65E81">
      <w:pPr>
        <w:rPr>
          <w:rFonts w:ascii="Times New Roman" w:hAnsi="Times New Roman"/>
          <w:sz w:val="24"/>
          <w:szCs w:val="24"/>
        </w:rPr>
      </w:pPr>
    </w:p>
    <w:p w14:paraId="0C1088E2" w14:textId="09284C53" w:rsidR="00852C70" w:rsidRDefault="000A1714">
      <w:pPr>
        <w:widowControl w:val="0"/>
        <w:autoSpaceDE w:val="0"/>
        <w:autoSpaceDN w:val="0"/>
        <w:adjustRightInd w:val="0"/>
        <w:spacing w:after="0" w:line="240" w:lineRule="auto"/>
        <w:ind w:left="101"/>
        <w:rPr>
          <w:rFonts w:ascii="Times New Roman" w:hAnsi="Times New Roman"/>
          <w:sz w:val="24"/>
          <w:szCs w:val="24"/>
        </w:rPr>
      </w:pPr>
      <w:r>
        <w:rPr>
          <w:rFonts w:ascii="Times New Roman" w:hAnsi="Times New Roman"/>
          <w:b/>
          <w:bCs/>
          <w:sz w:val="24"/>
          <w:szCs w:val="24"/>
        </w:rPr>
        <w:lastRenderedPageBreak/>
        <w:t xml:space="preserve">3. </w:t>
      </w:r>
      <w:r w:rsidR="00B65E81">
        <w:rPr>
          <w:rFonts w:ascii="Times New Roman" w:hAnsi="Times New Roman"/>
          <w:b/>
          <w:bCs/>
          <w:spacing w:val="-2"/>
          <w:sz w:val="24"/>
          <w:szCs w:val="24"/>
        </w:rPr>
        <w:t xml:space="preserve">METHODOLOGY </w:t>
      </w:r>
    </w:p>
    <w:p w14:paraId="715FFA66" w14:textId="77777777" w:rsidR="00852C70" w:rsidRDefault="000A1714">
      <w:pPr>
        <w:widowControl w:val="0"/>
        <w:autoSpaceDE w:val="0"/>
        <w:autoSpaceDN w:val="0"/>
        <w:adjustRightInd w:val="0"/>
        <w:spacing w:after="0" w:line="240" w:lineRule="auto"/>
        <w:ind w:left="101"/>
        <w:jc w:val="both"/>
        <w:rPr>
          <w:rFonts w:ascii="Times New Roman" w:hAnsi="Times New Roman"/>
          <w:b/>
          <w:bCs/>
          <w:sz w:val="24"/>
          <w:szCs w:val="24"/>
          <w:lang w:val="id-ID"/>
        </w:rPr>
      </w:pPr>
      <w:r>
        <w:rPr>
          <w:rFonts w:ascii="Times New Roman" w:hAnsi="Times New Roman"/>
          <w:b/>
          <w:bCs/>
          <w:sz w:val="24"/>
          <w:szCs w:val="24"/>
          <w:lang w:val="id-ID"/>
        </w:rPr>
        <w:t>3.1 Types of Research</w:t>
      </w:r>
    </w:p>
    <w:p w14:paraId="0A161305" w14:textId="77777777" w:rsidR="00852C70" w:rsidRDefault="000A1714">
      <w:pPr>
        <w:widowControl w:val="0"/>
        <w:autoSpaceDE w:val="0"/>
        <w:autoSpaceDN w:val="0"/>
        <w:adjustRightInd w:val="0"/>
        <w:spacing w:before="19" w:after="0" w:line="260" w:lineRule="exact"/>
        <w:ind w:firstLine="720"/>
        <w:jc w:val="both"/>
        <w:rPr>
          <w:rFonts w:ascii="Times New Roman" w:hAnsi="Times New Roman"/>
          <w:sz w:val="24"/>
          <w:szCs w:val="24"/>
          <w:lang w:val="id-ID"/>
        </w:rPr>
      </w:pPr>
      <w:r>
        <w:rPr>
          <w:rFonts w:ascii="Times New Roman" w:hAnsi="Times New Roman"/>
          <w:sz w:val="24"/>
          <w:szCs w:val="24"/>
          <w:lang w:val="id-ID"/>
        </w:rPr>
        <w:t xml:space="preserve">The main objective of this research is to find the relationship between environmental management accounting practices and company performance and information systems as </w:t>
      </w:r>
      <w:r>
        <w:rPr>
          <w:rFonts w:ascii="Times New Roman" w:hAnsi="Times New Roman"/>
          <w:i/>
          <w:sz w:val="24"/>
          <w:szCs w:val="24"/>
          <w:lang w:val="id-ID"/>
        </w:rPr>
        <w:t xml:space="preserve">intervening variables </w:t>
      </w:r>
      <w:r>
        <w:rPr>
          <w:rFonts w:ascii="Times New Roman" w:hAnsi="Times New Roman"/>
          <w:sz w:val="24"/>
          <w:szCs w:val="24"/>
          <w:lang w:val="id-ID"/>
        </w:rPr>
        <w:t xml:space="preserve">. This research is a quantitative analysis type research. Quantitative analysis is used because </w:t>
      </w:r>
      <w:r>
        <w:rPr>
          <w:rFonts w:ascii="Times New Roman" w:hAnsi="Times New Roman"/>
          <w:sz w:val="24"/>
          <w:szCs w:val="24"/>
        </w:rPr>
        <w:t xml:space="preserve">it requires </w:t>
      </w:r>
      <w:r>
        <w:rPr>
          <w:rFonts w:ascii="Times New Roman" w:hAnsi="Times New Roman"/>
          <w:sz w:val="24"/>
          <w:szCs w:val="24"/>
          <w:lang w:val="id-ID"/>
        </w:rPr>
        <w:t xml:space="preserve">data measurement and generalization of results from the sample to the population. In addition, research that uses quantitative analysis can propose hypotheses, as temporary answers to research questions </w:t>
      </w:r>
      <w:r>
        <w:rPr>
          <w:rFonts w:ascii="Times New Roman" w:hAnsi="Times New Roman"/>
          <w:sz w:val="24"/>
          <w:szCs w:val="24"/>
        </w:rPr>
        <w:fldChar w:fldCharType="begin"/>
      </w:r>
      <w:r>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approach.","author":[{"dropping-particle":"","family":"Suliyanto","given":"","non-dropping-particle":"","parse-names":false,"suffix":""}],"container-title":"Journal of Chemical Information and Modeling","id":"ITEM-1","issue":"2","issued":{"date-parts":[["2017"]]},"page":"223-232","title":"Pelatihan Metode Pelatihan Kuantitatif","type":"article-journal","volume":"5"},"uris":["http://www.mendeley.com/documents/?uuid=bf2e7414-7ecc-4fee-897d-2080d7b4af63"]}],"mendeley":{"formattedCitation":"(Suliyanto, 2017)","plainTextFormattedCitation":"(Suliyanto, 2017)","previouslyFormattedCitation":"(Suliyanto,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(Suliyanto, 2017) </w:t>
      </w:r>
      <w:r>
        <w:rPr>
          <w:rFonts w:ascii="Times New Roman" w:hAnsi="Times New Roman"/>
          <w:sz w:val="24"/>
          <w:szCs w:val="24"/>
        </w:rPr>
        <w:fldChar w:fldCharType="end"/>
      </w:r>
      <w:r>
        <w:rPr>
          <w:rFonts w:ascii="Times New Roman" w:hAnsi="Times New Roman"/>
          <w:sz w:val="24"/>
          <w:szCs w:val="24"/>
          <w:lang w:val="id-ID"/>
        </w:rPr>
        <w:t>.</w:t>
      </w:r>
    </w:p>
    <w:p w14:paraId="0BE452F4" w14:textId="77777777" w:rsidR="00852C70" w:rsidRDefault="00852C70">
      <w:pPr>
        <w:widowControl w:val="0"/>
        <w:autoSpaceDE w:val="0"/>
        <w:autoSpaceDN w:val="0"/>
        <w:adjustRightInd w:val="0"/>
        <w:spacing w:after="0" w:line="240" w:lineRule="auto"/>
        <w:ind w:left="101"/>
        <w:jc w:val="both"/>
        <w:rPr>
          <w:rFonts w:ascii="Times New Roman" w:hAnsi="Times New Roman"/>
          <w:b/>
          <w:bCs/>
          <w:sz w:val="24"/>
          <w:szCs w:val="24"/>
          <w:lang w:val="id-ID"/>
        </w:rPr>
      </w:pPr>
    </w:p>
    <w:p w14:paraId="514F0D97" w14:textId="77777777" w:rsidR="00852C70" w:rsidRDefault="000A1714">
      <w:pPr>
        <w:widowControl w:val="0"/>
        <w:autoSpaceDE w:val="0"/>
        <w:autoSpaceDN w:val="0"/>
        <w:adjustRightInd w:val="0"/>
        <w:spacing w:after="0" w:line="240" w:lineRule="auto"/>
        <w:ind w:left="101"/>
        <w:jc w:val="both"/>
        <w:rPr>
          <w:rFonts w:ascii="Times New Roman" w:hAnsi="Times New Roman"/>
          <w:b/>
          <w:bCs/>
          <w:sz w:val="24"/>
          <w:szCs w:val="24"/>
          <w:lang w:val="id-ID"/>
        </w:rPr>
      </w:pPr>
      <w:r>
        <w:rPr>
          <w:rFonts w:ascii="Times New Roman" w:hAnsi="Times New Roman"/>
          <w:b/>
          <w:bCs/>
          <w:sz w:val="24"/>
          <w:szCs w:val="24"/>
          <w:lang w:val="id-ID"/>
        </w:rPr>
        <w:t>3.2 Operational Definition and Variable Measurement</w:t>
      </w:r>
    </w:p>
    <w:p w14:paraId="60C94779" w14:textId="77777777" w:rsidR="00852C70" w:rsidRDefault="000A1714">
      <w:pPr>
        <w:widowControl w:val="0"/>
        <w:autoSpaceDE w:val="0"/>
        <w:autoSpaceDN w:val="0"/>
        <w:adjustRightInd w:val="0"/>
        <w:spacing w:before="19" w:after="0" w:line="260" w:lineRule="exact"/>
        <w:jc w:val="both"/>
        <w:rPr>
          <w:rFonts w:ascii="Times New Roman" w:hAnsi="Times New Roman"/>
          <w:bCs/>
          <w:sz w:val="24"/>
          <w:szCs w:val="24"/>
          <w:lang w:val="id-ID"/>
        </w:rPr>
      </w:pPr>
      <w:r>
        <w:rPr>
          <w:rFonts w:ascii="Times New Roman" w:hAnsi="Times New Roman"/>
          <w:b/>
          <w:bCs/>
          <w:sz w:val="24"/>
          <w:szCs w:val="24"/>
          <w:lang w:val="id-ID"/>
        </w:rPr>
        <w:tab/>
      </w:r>
      <w:r>
        <w:rPr>
          <w:rFonts w:ascii="Times New Roman" w:hAnsi="Times New Roman"/>
          <w:bCs/>
          <w:sz w:val="24"/>
          <w:szCs w:val="24"/>
          <w:lang w:val="id-ID"/>
        </w:rPr>
        <w:t>This research uses one independent variable, one dependent variable, and one intervening variable.</w:t>
      </w:r>
    </w:p>
    <w:p w14:paraId="24C7E332" w14:textId="77777777" w:rsidR="00852C70" w:rsidRDefault="000A1714">
      <w:pPr>
        <w:widowControl w:val="0"/>
        <w:autoSpaceDE w:val="0"/>
        <w:autoSpaceDN w:val="0"/>
        <w:adjustRightInd w:val="0"/>
        <w:spacing w:before="19" w:after="0" w:line="260" w:lineRule="exact"/>
        <w:jc w:val="both"/>
        <w:rPr>
          <w:rFonts w:ascii="Times New Roman" w:hAnsi="Times New Roman"/>
          <w:b/>
          <w:bCs/>
          <w:sz w:val="24"/>
          <w:szCs w:val="24"/>
          <w:lang w:val="id-ID"/>
        </w:rPr>
      </w:pPr>
      <w:r>
        <w:rPr>
          <w:rFonts w:ascii="Times New Roman" w:hAnsi="Times New Roman"/>
          <w:b/>
          <w:bCs/>
          <w:sz w:val="24"/>
          <w:szCs w:val="24"/>
        </w:rPr>
        <w:t xml:space="preserve">3.2.1. </w:t>
      </w:r>
      <w:r>
        <w:rPr>
          <w:rFonts w:ascii="Times New Roman" w:hAnsi="Times New Roman"/>
          <w:b/>
          <w:bCs/>
          <w:sz w:val="24"/>
          <w:szCs w:val="24"/>
          <w:lang w:val="id-ID"/>
        </w:rPr>
        <w:t xml:space="preserve">Independent Variable ( </w:t>
      </w:r>
      <w:r>
        <w:rPr>
          <w:rFonts w:ascii="Times New Roman" w:hAnsi="Times New Roman"/>
          <w:b/>
          <w:bCs/>
          <w:i/>
          <w:sz w:val="24"/>
          <w:szCs w:val="24"/>
          <w:lang w:val="id-ID"/>
        </w:rPr>
        <w:t xml:space="preserve">Dependent Variable </w:t>
      </w:r>
      <w:r>
        <w:rPr>
          <w:rFonts w:ascii="Times New Roman" w:hAnsi="Times New Roman"/>
          <w:b/>
          <w:bCs/>
          <w:sz w:val="24"/>
          <w:szCs w:val="24"/>
          <w:lang w:val="id-ID"/>
        </w:rPr>
        <w:t>)</w:t>
      </w:r>
    </w:p>
    <w:p w14:paraId="2363C0C5" w14:textId="77777777" w:rsidR="00852C70" w:rsidRDefault="000A1714">
      <w:pPr>
        <w:widowControl w:val="0"/>
        <w:autoSpaceDE w:val="0"/>
        <w:autoSpaceDN w:val="0"/>
        <w:adjustRightInd w:val="0"/>
        <w:spacing w:before="19" w:after="0" w:line="260" w:lineRule="exact"/>
        <w:ind w:firstLine="720"/>
        <w:jc w:val="both"/>
        <w:rPr>
          <w:rFonts w:ascii="Times New Roman" w:hAnsi="Times New Roman"/>
          <w:sz w:val="24"/>
          <w:szCs w:val="24"/>
          <w:lang w:val="id-ID"/>
        </w:rPr>
      </w:pPr>
      <w:r>
        <w:rPr>
          <w:rFonts w:ascii="Times New Roman" w:hAnsi="Times New Roman"/>
          <w:bCs/>
          <w:sz w:val="24"/>
          <w:szCs w:val="24"/>
        </w:rPr>
        <w:t xml:space="preserve">Independent variables are variables that are thought to independently influence the dependent variable (Supomo, 1999). This research uses the variable environmental management accounting practices as a variable that is thought to influence Manufacturing Company Performance as the dependent variable. Environmental management </w:t>
      </w:r>
      <w:r>
        <w:rPr>
          <w:rFonts w:ascii="Times New Roman" w:hAnsi="Times New Roman"/>
          <w:bCs/>
          <w:sz w:val="24"/>
          <w:szCs w:val="24"/>
          <w:lang w:val="id-ID"/>
        </w:rPr>
        <w:t xml:space="preserve">accounting practices </w:t>
      </w:r>
      <w:r>
        <w:rPr>
          <w:rFonts w:ascii="Times New Roman" w:hAnsi="Times New Roman"/>
          <w:bCs/>
          <w:sz w:val="24"/>
          <w:szCs w:val="24"/>
        </w:rPr>
        <w:t xml:space="preserve">are accounting practices </w:t>
      </w:r>
      <w:r>
        <w:rPr>
          <w:rFonts w:ascii="Times New Roman" w:hAnsi="Times New Roman"/>
          <w:bCs/>
          <w:sz w:val="24"/>
          <w:szCs w:val="24"/>
          <w:lang w:val="id-ID"/>
        </w:rPr>
        <w:t xml:space="preserve">that identify and measure information related to the environment to support the decision-making process </w:t>
      </w:r>
      <w:r>
        <w:rPr>
          <w:rFonts w:ascii="Times New Roman" w:hAnsi="Times New Roman"/>
          <w:bCs/>
          <w:sz w:val="24"/>
          <w:szCs w:val="24"/>
          <w:lang w:val="id-ID"/>
        </w:rPr>
        <w:fldChar w:fldCharType="begin"/>
      </w:r>
      <w:r>
        <w:rPr>
          <w:rFonts w:ascii="Times New Roman" w:hAnsi="Times New Roman"/>
          <w:bCs/>
          <w:sz w:val="24"/>
          <w:szCs w:val="24"/>
          <w:lang w:val="id-ID"/>
        </w:rPr>
        <w:instrText>ADDIN CSL_CITATION {"citationItems":[{"id":"ITEM-1","itemData":{"ISBN":"9211044952","abstract":"Recent years have seen increasing pressures and incentives for\nthe adoption of cleaner production processes and pollution\nprevention measures by industry emerging from both inside and\noutside of commerce. Internally the driver is to reduce the\nproducers costs associated with waste and compliance with\nregulations. Externally the corporate environmental performance\nis increasingly scrutinised by investors, regulatory bodies, and\nthe public at large. Some enterprises are reviewing and changing\ntheir management procedures in order to measure more accurately\nthe costs of environmental impacts and the benefit of\nenvironmental protection. With increasingly tough environmental\nprotection policies come steadily increasing business costs.\nConventional managerial accounting systems do not adequately\nidentify these costs, thereby complicating or preventing actions\nto reduce them. Environmental managerial accounting (EMA) covers\na variety of techniques for identifying and measuring the full\nrange of environmental costs. While managerial accounting\nsystems are traditionally viewed as matters internal to a\nbusiness, the potential public benefits that can result from\ntheir widespread adoption by corporations provide an incentive\nfor an active government role in promoting such systems. This\nreport presents the considerations from a series of United\nNations sponsored expert meetings on how governments might\npromote and advance EMA.","author":[{"dropping-particle":"","family":"United Nations Division for Sustainable Development.","given":"","non-dropping-particle":"","parse-names":false,"suffix":""}],"container-title":"United Nations publication","id":"ITEM-1","issued":{"date-parts":[["2000"]]},"title":"Improving governments' role in the promotion of environmental managerial accounting","type":"book"},"uris":["http://www.mendeley.com/documents/?uuid=589eb08a-0d73-4277-ad30-1029463f50aa"]}],"mendeley":{"formattedCitation":"(United Nations Division for Sustainable Development., 2000)","manualFormatting":"(UNDS., 2000)","plainTextFormattedCitation":"(United Nations Division for Sustainable Development., 2000)","previouslyFormattedCitation":"(United Nations Division for Sustainable Development., 2000)"},"properties":{"noteIndex":0},"schema":"https://github.com/citation-style-language/schema/raw/master/csl-citation.json"}</w:instrText>
      </w:r>
      <w:r>
        <w:rPr>
          <w:rFonts w:ascii="Times New Roman" w:hAnsi="Times New Roman"/>
          <w:bCs/>
          <w:sz w:val="24"/>
          <w:szCs w:val="24"/>
          <w:lang w:val="id-ID"/>
        </w:rPr>
        <w:fldChar w:fldCharType="separate"/>
      </w:r>
      <w:r>
        <w:rPr>
          <w:rFonts w:ascii="Times New Roman" w:hAnsi="Times New Roman"/>
          <w:bCs/>
          <w:noProof/>
          <w:sz w:val="24"/>
          <w:szCs w:val="24"/>
          <w:lang w:val="id-ID"/>
        </w:rPr>
        <w:t xml:space="preserve">(UNDS., 2000) </w:t>
      </w:r>
      <w:r>
        <w:rPr>
          <w:rFonts w:ascii="Times New Roman" w:hAnsi="Times New Roman"/>
          <w:bCs/>
          <w:sz w:val="24"/>
          <w:szCs w:val="24"/>
          <w:lang w:val="id-ID"/>
        </w:rPr>
        <w:fldChar w:fldCharType="end"/>
      </w:r>
      <w:r>
        <w:rPr>
          <w:rFonts w:ascii="Times New Roman" w:hAnsi="Times New Roman"/>
          <w:bCs/>
          <w:sz w:val="24"/>
          <w:szCs w:val="24"/>
          <w:lang w:val="id-ID"/>
        </w:rPr>
        <w:t>.</w:t>
      </w:r>
      <w:r>
        <w:rPr>
          <w:rFonts w:ascii="Times New Roman" w:hAnsi="Times New Roman"/>
          <w:sz w:val="24"/>
          <w:szCs w:val="24"/>
          <w:lang w:val="id-ID"/>
        </w:rPr>
        <w:t xml:space="preserve"> </w:t>
      </w:r>
    </w:p>
    <w:p w14:paraId="44E7039B" w14:textId="77777777" w:rsidR="00852C70" w:rsidRDefault="00852C70">
      <w:pPr>
        <w:widowControl w:val="0"/>
        <w:autoSpaceDE w:val="0"/>
        <w:autoSpaceDN w:val="0"/>
        <w:adjustRightInd w:val="0"/>
        <w:spacing w:before="19" w:after="0" w:line="260" w:lineRule="exact"/>
        <w:rPr>
          <w:rFonts w:ascii="Times New Roman" w:hAnsi="Times New Roman"/>
          <w:b/>
          <w:sz w:val="24"/>
          <w:szCs w:val="24"/>
          <w:lang w:val="id-ID"/>
        </w:rPr>
      </w:pPr>
    </w:p>
    <w:p w14:paraId="6D823A6E" w14:textId="77777777" w:rsidR="00852C70" w:rsidRDefault="000A1714">
      <w:pPr>
        <w:widowControl w:val="0"/>
        <w:autoSpaceDE w:val="0"/>
        <w:autoSpaceDN w:val="0"/>
        <w:adjustRightInd w:val="0"/>
        <w:spacing w:before="19" w:after="0" w:line="260" w:lineRule="exact"/>
        <w:ind w:left="720"/>
        <w:jc w:val="center"/>
        <w:rPr>
          <w:rFonts w:ascii="Times New Roman" w:hAnsi="Times New Roman"/>
          <w:sz w:val="24"/>
          <w:szCs w:val="24"/>
          <w:lang w:val="id-ID"/>
        </w:rPr>
      </w:pPr>
      <w:r>
        <w:rPr>
          <w:rFonts w:ascii="Times New Roman" w:hAnsi="Times New Roman"/>
          <w:b/>
          <w:sz w:val="24"/>
          <w:szCs w:val="24"/>
          <w:lang w:val="id-ID"/>
        </w:rPr>
        <w:t>Table 3.1.</w:t>
      </w:r>
      <w:r>
        <w:rPr>
          <w:rFonts w:ascii="Times New Roman" w:hAnsi="Times New Roman"/>
          <w:sz w:val="24"/>
          <w:szCs w:val="24"/>
          <w:lang w:val="id-ID"/>
        </w:rPr>
        <w:t xml:space="preserve"> </w:t>
      </w:r>
      <w:r>
        <w:rPr>
          <w:rFonts w:ascii="Times New Roman" w:hAnsi="Times New Roman"/>
          <w:sz w:val="24"/>
          <w:szCs w:val="24"/>
        </w:rPr>
        <w:t xml:space="preserve">Constructs </w:t>
      </w:r>
      <w:r>
        <w:rPr>
          <w:rFonts w:ascii="Times New Roman" w:hAnsi="Times New Roman"/>
          <w:sz w:val="24"/>
          <w:szCs w:val="24"/>
          <w:lang w:val="id-ID"/>
        </w:rPr>
        <w:t>and Variable Question Items</w:t>
      </w:r>
    </w:p>
    <w:p w14:paraId="38088818" w14:textId="77777777" w:rsidR="00852C70" w:rsidRDefault="000A1714">
      <w:pPr>
        <w:widowControl w:val="0"/>
        <w:autoSpaceDE w:val="0"/>
        <w:autoSpaceDN w:val="0"/>
        <w:adjustRightInd w:val="0"/>
        <w:spacing w:before="19" w:after="0" w:line="260" w:lineRule="exact"/>
        <w:ind w:left="720"/>
        <w:jc w:val="center"/>
        <w:rPr>
          <w:rFonts w:ascii="Times New Roman" w:hAnsi="Times New Roman"/>
          <w:sz w:val="24"/>
          <w:szCs w:val="24"/>
          <w:lang w:val="id-ID"/>
        </w:rPr>
      </w:pPr>
      <w:r>
        <w:rPr>
          <w:rFonts w:ascii="Times New Roman" w:hAnsi="Times New Roman"/>
          <w:sz w:val="24"/>
          <w:szCs w:val="24"/>
          <w:lang w:val="id-ID"/>
        </w:rPr>
        <w:t>Environmental Management Accounting Practices.</w:t>
      </w:r>
    </w:p>
    <w:tbl>
      <w:tblPr>
        <w:tblW w:w="88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850"/>
        <w:gridCol w:w="3573"/>
        <w:gridCol w:w="1628"/>
      </w:tblGrid>
      <w:tr w:rsidR="00852C70" w:rsidRPr="00B65E81" w14:paraId="1BB6968B" w14:textId="77777777">
        <w:tc>
          <w:tcPr>
            <w:tcW w:w="1417" w:type="dxa"/>
            <w:shd w:val="clear" w:color="auto" w:fill="BFBFBF"/>
          </w:tcPr>
          <w:p w14:paraId="3A59DD8E"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rPr>
            </w:pPr>
            <w:r w:rsidRPr="00B65E81">
              <w:rPr>
                <w:rFonts w:ascii="Times New Roman" w:hAnsi="Times New Roman"/>
                <w:sz w:val="20"/>
                <w:szCs w:val="20"/>
                <w:lang w:val="id-ID"/>
              </w:rPr>
              <w:t>Variable</w:t>
            </w:r>
          </w:p>
        </w:tc>
        <w:tc>
          <w:tcPr>
            <w:tcW w:w="1418" w:type="dxa"/>
            <w:shd w:val="clear" w:color="auto" w:fill="BFBFBF"/>
          </w:tcPr>
          <w:p w14:paraId="24956C73"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rPr>
            </w:pPr>
            <w:r w:rsidRPr="00B65E81">
              <w:rPr>
                <w:rFonts w:ascii="Times New Roman" w:hAnsi="Times New Roman"/>
                <w:sz w:val="20"/>
                <w:szCs w:val="20"/>
              </w:rPr>
              <w:t>Construct</w:t>
            </w:r>
          </w:p>
        </w:tc>
        <w:tc>
          <w:tcPr>
            <w:tcW w:w="850" w:type="dxa"/>
            <w:shd w:val="clear" w:color="auto" w:fill="BFBFBF"/>
          </w:tcPr>
          <w:p w14:paraId="136E45C8"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rPr>
            </w:pPr>
            <w:r w:rsidRPr="00B65E81">
              <w:rPr>
                <w:rFonts w:ascii="Times New Roman" w:hAnsi="Times New Roman"/>
                <w:sz w:val="20"/>
                <w:szCs w:val="20"/>
              </w:rPr>
              <w:t xml:space="preserve">Item </w:t>
            </w:r>
            <w:r w:rsidRPr="00B65E81">
              <w:rPr>
                <w:rFonts w:ascii="Times New Roman" w:hAnsi="Times New Roman"/>
                <w:sz w:val="20"/>
                <w:szCs w:val="20"/>
                <w:lang w:val="id-ID"/>
              </w:rPr>
              <w:t>code</w:t>
            </w:r>
          </w:p>
        </w:tc>
        <w:tc>
          <w:tcPr>
            <w:tcW w:w="3573" w:type="dxa"/>
            <w:shd w:val="clear" w:color="auto" w:fill="BFBFBF"/>
          </w:tcPr>
          <w:p w14:paraId="0877C082"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Question Items</w:t>
            </w:r>
          </w:p>
        </w:tc>
        <w:tc>
          <w:tcPr>
            <w:tcW w:w="1628" w:type="dxa"/>
            <w:tcBorders>
              <w:bottom w:val="single" w:sz="4" w:space="0" w:color="auto"/>
            </w:tcBorders>
            <w:shd w:val="clear" w:color="auto" w:fill="BFBFBF"/>
          </w:tcPr>
          <w:p w14:paraId="7520ED33"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Source</w:t>
            </w:r>
          </w:p>
          <w:p w14:paraId="0B38C3A7"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Instrument</w:t>
            </w:r>
          </w:p>
        </w:tc>
      </w:tr>
      <w:tr w:rsidR="00852C70" w:rsidRPr="00B65E81" w14:paraId="129D22E9" w14:textId="77777777">
        <w:trPr>
          <w:trHeight w:val="105"/>
        </w:trPr>
        <w:tc>
          <w:tcPr>
            <w:tcW w:w="1417" w:type="dxa"/>
            <w:vMerge w:val="restart"/>
            <w:shd w:val="clear" w:color="auto" w:fill="auto"/>
          </w:tcPr>
          <w:p w14:paraId="46BA00CD"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Accounting Practice</w:t>
            </w:r>
          </w:p>
          <w:p w14:paraId="68BD9C0D"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Environmental Management</w:t>
            </w:r>
          </w:p>
        </w:tc>
        <w:tc>
          <w:tcPr>
            <w:tcW w:w="1418" w:type="dxa"/>
            <w:vMerge w:val="restart"/>
            <w:shd w:val="clear" w:color="auto" w:fill="auto"/>
          </w:tcPr>
          <w:p w14:paraId="4D1887EC" w14:textId="77777777" w:rsidR="00852C70" w:rsidRPr="00B65E81" w:rsidRDefault="000A1714">
            <w:pPr>
              <w:spacing w:after="0" w:line="240" w:lineRule="auto"/>
              <w:rPr>
                <w:rFonts w:ascii="Times New Roman" w:hAnsi="Times New Roman"/>
                <w:sz w:val="20"/>
                <w:szCs w:val="20"/>
                <w:lang w:val="id-ID"/>
              </w:rPr>
            </w:pPr>
            <w:r w:rsidRPr="00B65E81">
              <w:rPr>
                <w:rFonts w:ascii="Times New Roman" w:hAnsi="Times New Roman"/>
                <w:sz w:val="20"/>
                <w:szCs w:val="20"/>
                <w:lang w:val="id-ID"/>
              </w:rPr>
              <w:t>Environmental Costs</w:t>
            </w:r>
          </w:p>
        </w:tc>
        <w:tc>
          <w:tcPr>
            <w:tcW w:w="850" w:type="dxa"/>
            <w:shd w:val="clear" w:color="auto" w:fill="auto"/>
          </w:tcPr>
          <w:p w14:paraId="4123437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BL1</w:t>
            </w:r>
          </w:p>
        </w:tc>
        <w:tc>
          <w:tcPr>
            <w:tcW w:w="3573" w:type="dxa"/>
            <w:shd w:val="clear" w:color="auto" w:fill="auto"/>
          </w:tcPr>
          <w:p w14:paraId="00E05187"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Identify environmentally related costs.</w:t>
            </w:r>
          </w:p>
        </w:tc>
        <w:tc>
          <w:tcPr>
            <w:tcW w:w="1628" w:type="dxa"/>
            <w:vMerge w:val="restart"/>
            <w:shd w:val="clear" w:color="auto" w:fill="auto"/>
          </w:tcPr>
          <w:p w14:paraId="38A44FF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{"citationItems":[{"id":"ITEM-1","itemData":{"DOI":"10.1108/09513571011080180","ISSN":"09513574","abstract":"Purpose: Increased awareness regarding environmental issues has encouraged organisations to use environmental management accounting (EMA), which has been said to deliver many benefits to users, including an increase in innovation. There is, however, little evidence to consubstantiate this claim and thus this paper aims to investigate the issue. It also seeks to examine the role of strategy with EMA use and innovation. Design/methodology/approach: The paper uses a survey designed and administered to management accountants and financial controllers in large Australian businesses. Findings: The analysis suggests that EMA use has a positive association with process innovation, but not with product innovation. It also finds that the effect of strategy on innovation was driven by the level of commitment to research and development. However, no statistically significant relationship between strategy and EMA use was found. The key driver of EMA use was industry. Research limitations/implications: The small sample size is the most important limitation of this study and affected the statistical power of the analysis conducted. The results need to be interpreted with caution. Practical implications: The study suggests that EMA use is associated with process innovation, implying that economic benefits may be realised by using this technique, while simultaneously enhancing environmental performance. Originality/value: This is the first study to provide cross-sectional evidence of the relationship between strategy, EMA use and innovation. It is also the first to propose a research instrument to measure EMA use as a multi-item construct. © Emerald Group Publishing Limited.","author":[{"dropping-particle":"","family":"Ferreira","given":"Aldónio","non-dropping-particle":"","parse-names":false,"suffix":""},{"dropping-particle":"","family":"Moulang","given":"Carly","non-dropping-particle":"","parse-names":false,"suffix":""},{"dropping-particle":"","family":"Hendro","given":"Bayu","non-dropping-particle":"","parse-names":false,"suffix":""}],"container-title":"Accounting, Auditing and Accountability Journal","id":"ITEM-1","issue":"7","issued":{"date-parts":[["2010"]]},"page":"920-948","title":"Environmental management accounting and innovation: An exploratory analysis","type":"article-journal","volume":"23"},"uris":["http://www.mendeley.com/documents/?uuid=a2981af3-c587-42a2-9872-f4d5aeec3cbb"]}],"mendeley":{"formattedCitation":"(Ferreira et al., 2010)","plainTextFormattedCitation":"(Ferreira et al., 2010)","previouslyFormattedCitation":"(Ferreira et al., 2010)"},"properties":{"noteIndex":0},"schema":"https://github.com/citation-style-language/schema/raw/master/csl-citation.json"}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(Ferreira et al., 2010)</w:t>
            </w:r>
            <w:r w:rsidRPr="00B65E81">
              <w:rPr>
                <w:rFonts w:ascii="Times New Roman" w:hAnsi="Times New Roman"/>
                <w:sz w:val="20"/>
                <w:szCs w:val="20"/>
                <w:lang w:val="id-ID"/>
              </w:rPr>
              <w:fldChar w:fldCharType="end"/>
            </w:r>
          </w:p>
        </w:tc>
      </w:tr>
      <w:tr w:rsidR="00852C70" w:rsidRPr="00B65E81" w14:paraId="0E6225D7" w14:textId="77777777">
        <w:trPr>
          <w:trHeight w:val="105"/>
        </w:trPr>
        <w:tc>
          <w:tcPr>
            <w:tcW w:w="1417" w:type="dxa"/>
            <w:vMerge/>
            <w:shd w:val="clear" w:color="auto" w:fill="auto"/>
          </w:tcPr>
          <w:p w14:paraId="3150F19A"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09517A30"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15C943BB" w14:textId="77777777" w:rsidR="00852C70" w:rsidRPr="00B65E81" w:rsidRDefault="000A1714">
            <w:pPr>
              <w:spacing w:after="0" w:line="240" w:lineRule="auto"/>
              <w:rPr>
                <w:rFonts w:ascii="Times New Roman" w:hAnsi="Times New Roman"/>
                <w:sz w:val="20"/>
                <w:szCs w:val="20"/>
                <w:lang w:val="id-ID"/>
              </w:rPr>
            </w:pPr>
            <w:r w:rsidRPr="00B65E81">
              <w:rPr>
                <w:rFonts w:ascii="Times New Roman" w:hAnsi="Times New Roman"/>
                <w:sz w:val="20"/>
                <w:szCs w:val="20"/>
                <w:lang w:val="id-ID"/>
              </w:rPr>
              <w:t>BL2</w:t>
            </w:r>
          </w:p>
          <w:p w14:paraId="65380A90"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3573" w:type="dxa"/>
            <w:shd w:val="clear" w:color="auto" w:fill="auto"/>
          </w:tcPr>
          <w:p w14:paraId="31FA27E8"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Allocate environmentally related costs to production processes.</w:t>
            </w:r>
          </w:p>
        </w:tc>
        <w:tc>
          <w:tcPr>
            <w:tcW w:w="1628" w:type="dxa"/>
            <w:vMerge/>
            <w:shd w:val="clear" w:color="auto" w:fill="auto"/>
          </w:tcPr>
          <w:p w14:paraId="64D9B0D7"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49CDCCC1" w14:textId="77777777">
        <w:trPr>
          <w:trHeight w:val="84"/>
        </w:trPr>
        <w:tc>
          <w:tcPr>
            <w:tcW w:w="1417" w:type="dxa"/>
            <w:vMerge/>
            <w:shd w:val="clear" w:color="auto" w:fill="auto"/>
          </w:tcPr>
          <w:p w14:paraId="665254A3"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7F85DF81"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4DDC6674"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BL3</w:t>
            </w:r>
          </w:p>
        </w:tc>
        <w:tc>
          <w:tcPr>
            <w:tcW w:w="3573" w:type="dxa"/>
            <w:shd w:val="clear" w:color="auto" w:fill="auto"/>
          </w:tcPr>
          <w:p w14:paraId="1B533D18"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Allocate environmentally related costs to the products produced.</w:t>
            </w:r>
          </w:p>
        </w:tc>
        <w:tc>
          <w:tcPr>
            <w:tcW w:w="1628" w:type="dxa"/>
            <w:vMerge/>
            <w:shd w:val="clear" w:color="auto" w:fill="auto"/>
          </w:tcPr>
          <w:p w14:paraId="635B8A19"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25FCFE42" w14:textId="77777777">
        <w:trPr>
          <w:trHeight w:val="150"/>
        </w:trPr>
        <w:tc>
          <w:tcPr>
            <w:tcW w:w="1417" w:type="dxa"/>
            <w:vMerge/>
            <w:shd w:val="clear" w:color="auto" w:fill="auto"/>
          </w:tcPr>
          <w:p w14:paraId="7734E2A0"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42E6FE26"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32B0D28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BL4</w:t>
            </w:r>
          </w:p>
        </w:tc>
        <w:tc>
          <w:tcPr>
            <w:tcW w:w="3573" w:type="dxa"/>
            <w:shd w:val="clear" w:color="auto" w:fill="auto"/>
          </w:tcPr>
          <w:p w14:paraId="4489F710"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Using environmental related cost accounts.</w:t>
            </w:r>
          </w:p>
        </w:tc>
        <w:tc>
          <w:tcPr>
            <w:tcW w:w="1628" w:type="dxa"/>
            <w:vMerge/>
            <w:shd w:val="clear" w:color="auto" w:fill="auto"/>
          </w:tcPr>
          <w:p w14:paraId="7BD7EF1C"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08F52A1E" w14:textId="77777777">
        <w:trPr>
          <w:trHeight w:val="114"/>
        </w:trPr>
        <w:tc>
          <w:tcPr>
            <w:tcW w:w="1417" w:type="dxa"/>
            <w:vMerge/>
            <w:shd w:val="clear" w:color="auto" w:fill="auto"/>
          </w:tcPr>
          <w:p w14:paraId="75B2F1D4"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6CF459A2"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751F935C"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BL5</w:t>
            </w:r>
          </w:p>
        </w:tc>
        <w:tc>
          <w:tcPr>
            <w:tcW w:w="3573" w:type="dxa"/>
            <w:shd w:val="clear" w:color="auto" w:fill="auto"/>
          </w:tcPr>
          <w:p w14:paraId="576525D5"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Improve management of environmentally related costs.</w:t>
            </w:r>
          </w:p>
        </w:tc>
        <w:tc>
          <w:tcPr>
            <w:tcW w:w="1628" w:type="dxa"/>
            <w:vMerge/>
            <w:shd w:val="clear" w:color="auto" w:fill="auto"/>
          </w:tcPr>
          <w:p w14:paraId="5E694E7E"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2423C316" w14:textId="77777777">
        <w:trPr>
          <w:trHeight w:val="134"/>
        </w:trPr>
        <w:tc>
          <w:tcPr>
            <w:tcW w:w="1417" w:type="dxa"/>
            <w:vMerge/>
            <w:shd w:val="clear" w:color="auto" w:fill="auto"/>
          </w:tcPr>
          <w:p w14:paraId="405D7B6B"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val="restart"/>
            <w:shd w:val="clear" w:color="auto" w:fill="auto"/>
          </w:tcPr>
          <w:p w14:paraId="5D548C64" w14:textId="77777777" w:rsidR="00852C70" w:rsidRPr="00B65E81" w:rsidRDefault="000A1714">
            <w:pPr>
              <w:spacing w:after="0" w:line="240" w:lineRule="auto"/>
              <w:rPr>
                <w:rFonts w:ascii="Times New Roman" w:hAnsi="Times New Roman"/>
                <w:sz w:val="20"/>
                <w:szCs w:val="20"/>
                <w:lang w:val="id-ID"/>
              </w:rPr>
            </w:pPr>
            <w:r w:rsidRPr="00B65E81">
              <w:rPr>
                <w:rFonts w:ascii="Times New Roman" w:hAnsi="Times New Roman"/>
                <w:sz w:val="20"/>
                <w:szCs w:val="20"/>
                <w:lang w:val="id-ID"/>
              </w:rPr>
              <w:t>Environmental Regulation</w:t>
            </w:r>
          </w:p>
        </w:tc>
        <w:tc>
          <w:tcPr>
            <w:tcW w:w="850" w:type="dxa"/>
            <w:shd w:val="clear" w:color="auto" w:fill="auto"/>
          </w:tcPr>
          <w:p w14:paraId="0F9AADF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RL1</w:t>
            </w:r>
          </w:p>
        </w:tc>
        <w:tc>
          <w:tcPr>
            <w:tcW w:w="3573" w:type="dxa"/>
            <w:shd w:val="clear" w:color="auto" w:fill="auto"/>
          </w:tcPr>
          <w:p w14:paraId="3C10F48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Aware of environmental issues.</w:t>
            </w:r>
          </w:p>
        </w:tc>
        <w:tc>
          <w:tcPr>
            <w:tcW w:w="1628" w:type="dxa"/>
            <w:vMerge w:val="restart"/>
            <w:shd w:val="clear" w:color="auto" w:fill="auto"/>
          </w:tcPr>
          <w:p w14:paraId="718205C1"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{"citationItems":[{"id":"ITEM-1","itemData":{"author":[{"dropping-particle":"","family":"Alkisher","given":"Altohami","non-dropping-particle":"","parse-names":false,"suffix":""}],"id":"ITEM-1","issue":"November","issued":{"date-parts":[["2018"]]},"title":"Overview of Drivers behind Environmental Management Accounting ( EMA ) Overview of Drivers behind","type":"article-journal"},"uris":["http://www.mendeley.com/documents/?uuid=e81ce70a-5d55-4af3-9120-3931c80ab5db"]}],"mendeley":{"formattedCitation":"(Alkisher, 2018)","plainTextFormattedCitation":"(Alkisher, 2018)","previouslyFormattedCitation":"(Alkisher, 2018)"},"properties":{"noteIndex":0},"schema":"https://github.com/citation-style-language/schema/raw/master/csl-citation.json"}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(Alkisher, 2018)</w:t>
            </w:r>
            <w:r w:rsidRPr="00B65E81">
              <w:rPr>
                <w:rFonts w:ascii="Times New Roman" w:hAnsi="Times New Roman"/>
                <w:sz w:val="20"/>
                <w:szCs w:val="20"/>
                <w:lang w:val="id-ID"/>
              </w:rPr>
              <w:fldChar w:fldCharType="end"/>
            </w:r>
          </w:p>
        </w:tc>
      </w:tr>
      <w:tr w:rsidR="00852C70" w:rsidRPr="00B65E81" w14:paraId="29752120" w14:textId="77777777">
        <w:trPr>
          <w:trHeight w:val="180"/>
        </w:trPr>
        <w:tc>
          <w:tcPr>
            <w:tcW w:w="1417" w:type="dxa"/>
            <w:vMerge/>
            <w:shd w:val="clear" w:color="auto" w:fill="auto"/>
          </w:tcPr>
          <w:p w14:paraId="0AFFF425"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1845D80E"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4A7E55C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RL2</w:t>
            </w:r>
          </w:p>
        </w:tc>
        <w:tc>
          <w:tcPr>
            <w:tcW w:w="3573" w:type="dxa"/>
            <w:shd w:val="clear" w:color="auto" w:fill="auto"/>
          </w:tcPr>
          <w:p w14:paraId="6BAE3C3D"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Comply with environmental regulations.</w:t>
            </w:r>
          </w:p>
        </w:tc>
        <w:tc>
          <w:tcPr>
            <w:tcW w:w="1628" w:type="dxa"/>
            <w:vMerge/>
            <w:shd w:val="clear" w:color="auto" w:fill="auto"/>
          </w:tcPr>
          <w:p w14:paraId="1649D4CB"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2739CFF4" w14:textId="77777777">
        <w:trPr>
          <w:trHeight w:val="135"/>
        </w:trPr>
        <w:tc>
          <w:tcPr>
            <w:tcW w:w="1417" w:type="dxa"/>
            <w:vMerge/>
            <w:shd w:val="clear" w:color="auto" w:fill="auto"/>
          </w:tcPr>
          <w:p w14:paraId="0D849701"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32A1B4B1"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009DAE0A"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RL3</w:t>
            </w:r>
          </w:p>
        </w:tc>
        <w:tc>
          <w:tcPr>
            <w:tcW w:w="3573" w:type="dxa"/>
            <w:shd w:val="clear" w:color="auto" w:fill="auto"/>
          </w:tcPr>
          <w:p w14:paraId="3C2A70E7"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Oversee environmental regulations.</w:t>
            </w:r>
          </w:p>
        </w:tc>
        <w:tc>
          <w:tcPr>
            <w:tcW w:w="1628" w:type="dxa"/>
            <w:vMerge/>
            <w:shd w:val="clear" w:color="auto" w:fill="auto"/>
          </w:tcPr>
          <w:p w14:paraId="433A1B65"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7146B1A3" w14:textId="77777777">
        <w:trPr>
          <w:trHeight w:val="105"/>
        </w:trPr>
        <w:tc>
          <w:tcPr>
            <w:tcW w:w="1417" w:type="dxa"/>
            <w:vMerge/>
            <w:shd w:val="clear" w:color="auto" w:fill="auto"/>
          </w:tcPr>
          <w:p w14:paraId="6FEB8A72"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3A2B2A34"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24FEF13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RL4</w:t>
            </w:r>
          </w:p>
        </w:tc>
        <w:tc>
          <w:tcPr>
            <w:tcW w:w="3573" w:type="dxa"/>
            <w:shd w:val="clear" w:color="auto" w:fill="auto"/>
          </w:tcPr>
          <w:p w14:paraId="6378D37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Comply with environmental procedures.</w:t>
            </w:r>
          </w:p>
        </w:tc>
        <w:tc>
          <w:tcPr>
            <w:tcW w:w="1628" w:type="dxa"/>
            <w:vMerge/>
            <w:shd w:val="clear" w:color="auto" w:fill="auto"/>
          </w:tcPr>
          <w:p w14:paraId="2D56AD64"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62B65E60" w14:textId="77777777">
        <w:trPr>
          <w:trHeight w:val="165"/>
        </w:trPr>
        <w:tc>
          <w:tcPr>
            <w:tcW w:w="1417" w:type="dxa"/>
            <w:vMerge/>
            <w:shd w:val="clear" w:color="auto" w:fill="auto"/>
          </w:tcPr>
          <w:p w14:paraId="4019B207"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34CF7B1A"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16B27601" w14:textId="77777777" w:rsidR="00852C70" w:rsidRPr="00B65E81" w:rsidRDefault="000A1714">
            <w:pPr>
              <w:spacing w:after="0" w:line="240" w:lineRule="auto"/>
              <w:rPr>
                <w:rFonts w:ascii="Times New Roman" w:hAnsi="Times New Roman"/>
                <w:sz w:val="20"/>
                <w:szCs w:val="20"/>
                <w:lang w:val="id-ID"/>
              </w:rPr>
            </w:pPr>
            <w:r w:rsidRPr="00B65E81">
              <w:rPr>
                <w:rFonts w:ascii="Times New Roman" w:hAnsi="Times New Roman"/>
                <w:sz w:val="20"/>
                <w:szCs w:val="20"/>
                <w:lang w:val="id-ID"/>
              </w:rPr>
              <w:t>RL5</w:t>
            </w:r>
          </w:p>
          <w:p w14:paraId="5765CADF"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3573" w:type="dxa"/>
            <w:shd w:val="clear" w:color="auto" w:fill="auto"/>
          </w:tcPr>
          <w:p w14:paraId="7724A3ED"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Pledged to implement environmental regulations.</w:t>
            </w:r>
          </w:p>
        </w:tc>
        <w:tc>
          <w:tcPr>
            <w:tcW w:w="1628" w:type="dxa"/>
            <w:vMerge/>
            <w:shd w:val="clear" w:color="auto" w:fill="auto"/>
          </w:tcPr>
          <w:p w14:paraId="53B1AFE9"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75976190" w14:textId="77777777">
        <w:trPr>
          <w:trHeight w:val="99"/>
        </w:trPr>
        <w:tc>
          <w:tcPr>
            <w:tcW w:w="1417" w:type="dxa"/>
            <w:vMerge/>
            <w:shd w:val="clear" w:color="auto" w:fill="auto"/>
          </w:tcPr>
          <w:p w14:paraId="094F75D3"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val="restart"/>
            <w:shd w:val="clear" w:color="auto" w:fill="auto"/>
          </w:tcPr>
          <w:p w14:paraId="4867D72D"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Environmental Security</w:t>
            </w:r>
          </w:p>
        </w:tc>
        <w:tc>
          <w:tcPr>
            <w:tcW w:w="850" w:type="dxa"/>
            <w:shd w:val="clear" w:color="auto" w:fill="auto"/>
          </w:tcPr>
          <w:p w14:paraId="52B6A3AD"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KL1</w:t>
            </w:r>
          </w:p>
        </w:tc>
        <w:tc>
          <w:tcPr>
            <w:tcW w:w="3573" w:type="dxa"/>
            <w:shd w:val="clear" w:color="auto" w:fill="auto"/>
          </w:tcPr>
          <w:p w14:paraId="43B204E1"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Consider environmental safety.</w:t>
            </w:r>
          </w:p>
        </w:tc>
        <w:tc>
          <w:tcPr>
            <w:tcW w:w="1628" w:type="dxa"/>
            <w:vMerge w:val="restart"/>
            <w:shd w:val="clear" w:color="auto" w:fill="auto"/>
          </w:tcPr>
          <w:p w14:paraId="1F720E32"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DOI":"10.1016/S2212-5671(16)00088-5","ISSN":"2212-5671","author":[{"dropping-particle":"","family":"Hanim","given":"Fatini","non-dropping-particle":"","parse-names":false,"suffix":""},{"dropping-particle":"","family":"Mohamed","given":"Binti","non-dropping-particle":"","parse-names":false,"suffix":""},{"dropping-particle":"","family":"Zulkifle","given":"Zulhafiza Binti","non-dropping-particle":"","parse-names":false,"suffix":""},{"dropping-particle":"","family":"Binti","given":"Siti Zubaidah","non-dropping-particle":"","parse-names":false,"suffix":""},{"dropping-particle":"","family":"Kadir","given":"Abdul","non-dropping-particle":"","parse-names":false,"suffix":""}],"container-title":"Procedia Economics and Finance","id":"ITEM-1","issue":"October 2015","issued":{"date-parts":[["2016"]]},"page":"705-712","publisher":"Elsevier B.V.","title":"Safety And Health Practices And Injury Management In Manufacturing Industry","type":"article-journal","volume":"35"},"uris":["http://www.mendeley.com/documents/?uuid=12331886-52bf-428c-9e0d-9fa7f39a3451"]}],"mendeley":{"formattedCitation":"(Hanim et al., 2016)","plainTextFormattedCitation":"(Hanim et al., 2016)","previouslyFormattedCitation":"(Hanim et al., 2016)"},"properties":{"noteIndex":0},"schema":"https://github.com/citation-style-language/schema/raw/master/csl-citation.json"}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(Hanim et al., 2016)</w:t>
            </w:r>
            <w:r w:rsidRPr="00B65E81">
              <w:rPr>
                <w:rFonts w:ascii="Times New Roman" w:hAnsi="Times New Roman"/>
                <w:sz w:val="20"/>
                <w:szCs w:val="20"/>
                <w:lang w:val="id-ID"/>
              </w:rPr>
              <w:fldChar w:fldCharType="end"/>
            </w:r>
          </w:p>
        </w:tc>
      </w:tr>
      <w:tr w:rsidR="00852C70" w:rsidRPr="00B65E81" w14:paraId="540DFCB4" w14:textId="77777777">
        <w:trPr>
          <w:trHeight w:val="99"/>
        </w:trPr>
        <w:tc>
          <w:tcPr>
            <w:tcW w:w="1417" w:type="dxa"/>
            <w:vMerge/>
            <w:shd w:val="clear" w:color="auto" w:fill="auto"/>
          </w:tcPr>
          <w:p w14:paraId="4B86C381"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0C06FED0"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036A27F7"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KL2</w:t>
            </w:r>
          </w:p>
        </w:tc>
        <w:tc>
          <w:tcPr>
            <w:tcW w:w="3573" w:type="dxa"/>
            <w:shd w:val="clear" w:color="auto" w:fill="auto"/>
          </w:tcPr>
          <w:p w14:paraId="1A8BDD43"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Increase environmental safety awareness.</w:t>
            </w:r>
          </w:p>
        </w:tc>
        <w:tc>
          <w:tcPr>
            <w:tcW w:w="1628" w:type="dxa"/>
            <w:vMerge/>
            <w:shd w:val="clear" w:color="auto" w:fill="auto"/>
          </w:tcPr>
          <w:p w14:paraId="02B42577"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613CC761" w14:textId="77777777">
        <w:trPr>
          <w:trHeight w:val="165"/>
        </w:trPr>
        <w:tc>
          <w:tcPr>
            <w:tcW w:w="1417" w:type="dxa"/>
            <w:vMerge/>
            <w:shd w:val="clear" w:color="auto" w:fill="auto"/>
          </w:tcPr>
          <w:p w14:paraId="37A46142"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3833DF9E"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77D54F14" w14:textId="77777777" w:rsidR="00B65E81" w:rsidRPr="00B65E81" w:rsidRDefault="00B65E81">
            <w:pPr>
              <w:widowControl w:val="0"/>
              <w:autoSpaceDE w:val="0"/>
              <w:autoSpaceDN w:val="0"/>
              <w:adjustRightInd w:val="0"/>
              <w:spacing w:before="19" w:after="0" w:line="260" w:lineRule="exact"/>
              <w:rPr>
                <w:rFonts w:ascii="Times New Roman" w:hAnsi="Times New Roman"/>
                <w:sz w:val="20"/>
                <w:szCs w:val="20"/>
                <w:lang w:val="id-ID"/>
              </w:rPr>
            </w:pPr>
          </w:p>
          <w:p w14:paraId="3916848B" w14:textId="5B917F81"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KL3</w:t>
            </w:r>
          </w:p>
        </w:tc>
        <w:tc>
          <w:tcPr>
            <w:tcW w:w="3573" w:type="dxa"/>
            <w:shd w:val="clear" w:color="auto" w:fill="auto"/>
          </w:tcPr>
          <w:p w14:paraId="2FE7A1A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Comply with environmental safety.</w:t>
            </w:r>
          </w:p>
        </w:tc>
        <w:tc>
          <w:tcPr>
            <w:tcW w:w="1628" w:type="dxa"/>
            <w:vMerge/>
            <w:shd w:val="clear" w:color="auto" w:fill="auto"/>
          </w:tcPr>
          <w:p w14:paraId="6431B013"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04F0B87B" w14:textId="77777777">
        <w:trPr>
          <w:trHeight w:val="75"/>
        </w:trPr>
        <w:tc>
          <w:tcPr>
            <w:tcW w:w="1417" w:type="dxa"/>
            <w:vMerge/>
            <w:shd w:val="clear" w:color="auto" w:fill="auto"/>
          </w:tcPr>
          <w:p w14:paraId="73B9C574"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38D8DE97"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72E00C9C"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KL4</w:t>
            </w:r>
          </w:p>
        </w:tc>
        <w:tc>
          <w:tcPr>
            <w:tcW w:w="3573" w:type="dxa"/>
            <w:shd w:val="clear" w:color="auto" w:fill="auto"/>
          </w:tcPr>
          <w:p w14:paraId="1850C0F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Provide security equipment.</w:t>
            </w:r>
          </w:p>
        </w:tc>
        <w:tc>
          <w:tcPr>
            <w:tcW w:w="1628" w:type="dxa"/>
            <w:vMerge/>
            <w:shd w:val="clear" w:color="auto" w:fill="auto"/>
          </w:tcPr>
          <w:p w14:paraId="6D08C815"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733635BA" w14:textId="77777777">
        <w:trPr>
          <w:trHeight w:val="195"/>
        </w:trPr>
        <w:tc>
          <w:tcPr>
            <w:tcW w:w="1417" w:type="dxa"/>
            <w:vMerge/>
            <w:shd w:val="clear" w:color="auto" w:fill="auto"/>
          </w:tcPr>
          <w:p w14:paraId="21E1FB10"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75694703"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62D632C0"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KL5</w:t>
            </w:r>
          </w:p>
        </w:tc>
        <w:tc>
          <w:tcPr>
            <w:tcW w:w="3573" w:type="dxa"/>
            <w:shd w:val="clear" w:color="auto" w:fill="auto"/>
          </w:tcPr>
          <w:p w14:paraId="4E65E8E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Understand environmental procedures .</w:t>
            </w:r>
          </w:p>
        </w:tc>
        <w:tc>
          <w:tcPr>
            <w:tcW w:w="1628" w:type="dxa"/>
            <w:vMerge/>
            <w:shd w:val="clear" w:color="auto" w:fill="auto"/>
          </w:tcPr>
          <w:p w14:paraId="36A50178"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7177DE0F" w14:textId="77777777">
        <w:trPr>
          <w:trHeight w:val="135"/>
        </w:trPr>
        <w:tc>
          <w:tcPr>
            <w:tcW w:w="1417" w:type="dxa"/>
            <w:vMerge/>
            <w:shd w:val="clear" w:color="auto" w:fill="auto"/>
          </w:tcPr>
          <w:p w14:paraId="01B8184F"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val="restart"/>
            <w:shd w:val="clear" w:color="auto" w:fill="auto"/>
          </w:tcPr>
          <w:p w14:paraId="0E894C5E"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Management Commitment</w:t>
            </w:r>
          </w:p>
        </w:tc>
        <w:tc>
          <w:tcPr>
            <w:tcW w:w="850" w:type="dxa"/>
            <w:shd w:val="clear" w:color="auto" w:fill="auto"/>
          </w:tcPr>
          <w:p w14:paraId="4443786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KM1</w:t>
            </w:r>
          </w:p>
        </w:tc>
        <w:tc>
          <w:tcPr>
            <w:tcW w:w="3573" w:type="dxa"/>
            <w:shd w:val="clear" w:color="auto" w:fill="auto"/>
          </w:tcPr>
          <w:p w14:paraId="6B701356"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Employees pay attention to environmental issues.</w:t>
            </w:r>
          </w:p>
        </w:tc>
        <w:tc>
          <w:tcPr>
            <w:tcW w:w="1628" w:type="dxa"/>
            <w:vMerge w:val="restart"/>
            <w:shd w:val="clear" w:color="auto" w:fill="auto"/>
          </w:tcPr>
          <w:p w14:paraId="45A2C25A" w14:textId="77777777" w:rsidR="00852C70" w:rsidRPr="00B65E81" w:rsidRDefault="00852C70">
            <w:pPr>
              <w:spacing w:after="160" w:line="259" w:lineRule="auto"/>
              <w:rPr>
                <w:rFonts w:ascii="Times New Roman" w:hAnsi="Times New Roman"/>
                <w:sz w:val="20"/>
                <w:szCs w:val="20"/>
                <w:lang w:val="id-ID"/>
              </w:rPr>
            </w:pPr>
          </w:p>
          <w:p w14:paraId="1006D722"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{"citationItems":[{"id":"ITEM-1","itemData":{"author":[{"dropping-particle":"","family":"Alkisher","given":"Altohami","non-dropping-particle":"","parse-names":false,"suffix":""}],"id":"ITEM-1","issue":"November","issued":{"date-parts":[["2018"]]},"title":"Overview of Drivers behind Environmental Management Accounting ( EMA ) Overview of Drivers behind","type":"article-journal"},"uris":["http://www.mendeley.com/documents/?uuid=e81ce70a-5d55-4af3-9120-3931c80ab5db"]}],"mendeley":{"formattedCitation":"(Alkisher, 2018)","plainTextFormattedCitation":"(Alkisher, 2018)","previouslyFormattedCitation":"(Alkisher, 2018)"},"properties":{"noteIndex":0},"schema":"https://github.com/citation-style-language/schema/raw/master/csl-citation.json"}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(Alkisher, 2018)</w:t>
            </w:r>
            <w:r w:rsidRPr="00B65E81">
              <w:rPr>
                <w:rFonts w:ascii="Times New Roman" w:hAnsi="Times New Roman"/>
                <w:sz w:val="20"/>
                <w:szCs w:val="20"/>
                <w:lang w:val="id-ID"/>
              </w:rPr>
              <w:fldChar w:fldCharType="end"/>
            </w:r>
          </w:p>
        </w:tc>
      </w:tr>
      <w:tr w:rsidR="00852C70" w:rsidRPr="00B65E81" w14:paraId="4E5DD83F" w14:textId="77777777">
        <w:trPr>
          <w:trHeight w:val="129"/>
        </w:trPr>
        <w:tc>
          <w:tcPr>
            <w:tcW w:w="1417" w:type="dxa"/>
            <w:vMerge/>
            <w:shd w:val="clear" w:color="auto" w:fill="auto"/>
          </w:tcPr>
          <w:p w14:paraId="1E8ED3D2"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6860E831"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68B895E3"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KM2</w:t>
            </w:r>
          </w:p>
        </w:tc>
        <w:tc>
          <w:tcPr>
            <w:tcW w:w="3573" w:type="dxa"/>
            <w:shd w:val="clear" w:color="auto" w:fill="auto"/>
          </w:tcPr>
          <w:p w14:paraId="0C5B097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 xml:space="preserve">Employees comply with environmental </w:t>
            </w:r>
            <w:r w:rsidRPr="00B65E81">
              <w:rPr>
                <w:rFonts w:ascii="Times New Roman" w:hAnsi="Times New Roman"/>
                <w:sz w:val="20"/>
                <w:szCs w:val="20"/>
                <w:lang w:val="id-ID"/>
              </w:rPr>
              <w:lastRenderedPageBreak/>
              <w:t>activities.</w:t>
            </w:r>
          </w:p>
        </w:tc>
        <w:tc>
          <w:tcPr>
            <w:tcW w:w="1628" w:type="dxa"/>
            <w:vMerge/>
            <w:shd w:val="clear" w:color="auto" w:fill="auto"/>
          </w:tcPr>
          <w:p w14:paraId="1B88136C"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08424213" w14:textId="77777777">
        <w:trPr>
          <w:trHeight w:val="195"/>
        </w:trPr>
        <w:tc>
          <w:tcPr>
            <w:tcW w:w="1417" w:type="dxa"/>
            <w:vMerge/>
            <w:shd w:val="clear" w:color="auto" w:fill="auto"/>
          </w:tcPr>
          <w:p w14:paraId="013DC3B4"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39898990"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6C6F237E"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KM3</w:t>
            </w:r>
          </w:p>
        </w:tc>
        <w:tc>
          <w:tcPr>
            <w:tcW w:w="3573" w:type="dxa"/>
            <w:shd w:val="clear" w:color="auto" w:fill="auto"/>
          </w:tcPr>
          <w:p w14:paraId="7EB17754"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Employees support environmental management.</w:t>
            </w:r>
          </w:p>
        </w:tc>
        <w:tc>
          <w:tcPr>
            <w:tcW w:w="1628" w:type="dxa"/>
            <w:vMerge/>
            <w:shd w:val="clear" w:color="auto" w:fill="auto"/>
          </w:tcPr>
          <w:p w14:paraId="793BDAB5"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0EFCDBBE" w14:textId="77777777">
        <w:trPr>
          <w:trHeight w:val="150"/>
        </w:trPr>
        <w:tc>
          <w:tcPr>
            <w:tcW w:w="1417" w:type="dxa"/>
            <w:vMerge/>
            <w:shd w:val="clear" w:color="auto" w:fill="auto"/>
          </w:tcPr>
          <w:p w14:paraId="70ED912A"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64E6F649"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0B833C71"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KM4</w:t>
            </w:r>
          </w:p>
        </w:tc>
        <w:tc>
          <w:tcPr>
            <w:tcW w:w="3573" w:type="dxa"/>
            <w:shd w:val="clear" w:color="auto" w:fill="auto"/>
          </w:tcPr>
          <w:p w14:paraId="44B2806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Employees support environmental programs.</w:t>
            </w:r>
          </w:p>
        </w:tc>
        <w:tc>
          <w:tcPr>
            <w:tcW w:w="1628" w:type="dxa"/>
            <w:vMerge/>
            <w:shd w:val="clear" w:color="auto" w:fill="auto"/>
          </w:tcPr>
          <w:p w14:paraId="0EF603CF"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227702C5" w14:textId="77777777">
        <w:trPr>
          <w:trHeight w:val="114"/>
        </w:trPr>
        <w:tc>
          <w:tcPr>
            <w:tcW w:w="1417" w:type="dxa"/>
            <w:vMerge/>
            <w:shd w:val="clear" w:color="auto" w:fill="auto"/>
          </w:tcPr>
          <w:p w14:paraId="1586BCB3"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6D01ED1A"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7DF1E29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KM5</w:t>
            </w:r>
          </w:p>
        </w:tc>
        <w:tc>
          <w:tcPr>
            <w:tcW w:w="3573" w:type="dxa"/>
            <w:shd w:val="clear" w:color="auto" w:fill="auto"/>
          </w:tcPr>
          <w:p w14:paraId="438FE86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Employees participate in decision making regarding the environment.</w:t>
            </w:r>
          </w:p>
        </w:tc>
        <w:tc>
          <w:tcPr>
            <w:tcW w:w="1628" w:type="dxa"/>
            <w:vMerge/>
            <w:shd w:val="clear" w:color="auto" w:fill="auto"/>
          </w:tcPr>
          <w:p w14:paraId="02D4380D"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334E5AEE" w14:textId="77777777">
        <w:trPr>
          <w:trHeight w:val="90"/>
        </w:trPr>
        <w:tc>
          <w:tcPr>
            <w:tcW w:w="1417" w:type="dxa"/>
            <w:vMerge/>
            <w:shd w:val="clear" w:color="auto" w:fill="auto"/>
          </w:tcPr>
          <w:p w14:paraId="4AB21450"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val="restart"/>
            <w:shd w:val="clear" w:color="auto" w:fill="auto"/>
          </w:tcPr>
          <w:p w14:paraId="2CC21C40"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Consumer Focus</w:t>
            </w:r>
          </w:p>
        </w:tc>
        <w:tc>
          <w:tcPr>
            <w:tcW w:w="850" w:type="dxa"/>
            <w:shd w:val="clear" w:color="auto" w:fill="auto"/>
          </w:tcPr>
          <w:p w14:paraId="2DC29F43"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FK1</w:t>
            </w:r>
          </w:p>
        </w:tc>
        <w:tc>
          <w:tcPr>
            <w:tcW w:w="3573" w:type="dxa"/>
            <w:shd w:val="clear" w:color="auto" w:fill="auto"/>
          </w:tcPr>
          <w:p w14:paraId="1E64A947"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The organization is determined to create consumer satisfaction.</w:t>
            </w:r>
          </w:p>
        </w:tc>
        <w:tc>
          <w:tcPr>
            <w:tcW w:w="1628" w:type="dxa"/>
            <w:vMerge w:val="restart"/>
            <w:shd w:val="clear" w:color="auto" w:fill="auto"/>
          </w:tcPr>
          <w:p w14:paraId="16BEDDC4"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{"citationItems":[{"id":"ITEM-1","itemData":{"DOI":"10.1108/09513571011080180","ISSN":"09513574","abstract":"Purpose: Increased awareness regarding environmental issues has encouraged organisations to use environmental management accounting (EMA), which has been said to deliver many benefits to users, including an increase in innovation. There is, however, little evidence to consubstantiate this claim and thus this paper aims to investigate the issue. It also seeks to examine the role of strategy with EMA use and innovation. Design/methodology/approach: The paper uses a survey designed and administered to management accountants and financial controllers in large Australian businesses. Findings: The analysis suggests that EMA use has a positive association with process innovation, but not with product innovation. It also finds that the effect of strategy on innovation was driven by the level of commitment to research and development. However, no statistically significant relationship between strategy and EMA use was found. The key driver of EMA use was industry. Research limitations/implications: The small sample size is the most important limitation of this study and affected the statistical power of the analysis conducted. The results need to be interpreted with caution. Practical implications: The study suggests that EMA use is associated with process innovation, implying that economic benefits may be realised by using this technique, while simultaneously enhancing environmental performance. Originality/value: This is the first study to provide cross-sectional evidence of the relationship between strategy, EMA use and innovation. It is also the first to propose a research instrument to measure EMA use as a multi-item construct. © Emerald Group Publishing Limited.","author":[{"dropping-particle":"","family":"Ferreira","given":"Aldónio","non-dropping-particle":"","parse-names":false,"suffix":""},{"dropping-particle":"","family":"Moulang","given":"Carly","non-dropping-particle":"","parse-names":false,"suffix":""},{"dropping-particle":"","family":"Hendro","given":"Bayu","non-dropping-particle":"","parse-names":false,"suffix":""}],"container-title":"Accounting, Auditing and Accountability Journal","id":"ITEM-1","issue":"7","issued":{"date-parts":[["2010"]]},"page":"920-948","title":"Environmental management accounting and innovation: An exploratory analysis","type":"article-journal","volume":"23"},"uris":["http://www.mendeley.com/documents/?uuid=a2981af3-c587-42a2-9872-f4d5aeec3cbb"]}],"mendeley":{"formattedCitation":"(Ferreira et al., 2010)","plainTextFormattedCitation":"(Ferreira et al., 2010)","previouslyFormattedCitation":"(Ferreira et al., 2010)"},"properties":{"noteIndex":0},"schema":"https://github.com/citation-style-language/schema/raw/master/csl-citation.json"}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(Ferreira et al., 2010)</w:t>
            </w:r>
            <w:r w:rsidRPr="00B65E81">
              <w:rPr>
                <w:rFonts w:ascii="Times New Roman" w:hAnsi="Times New Roman"/>
                <w:sz w:val="20"/>
                <w:szCs w:val="20"/>
                <w:lang w:val="id-ID"/>
              </w:rPr>
              <w:fldChar w:fldCharType="end"/>
            </w:r>
          </w:p>
        </w:tc>
      </w:tr>
      <w:tr w:rsidR="00852C70" w:rsidRPr="00B65E81" w14:paraId="301AAE7A" w14:textId="77777777">
        <w:trPr>
          <w:trHeight w:val="180"/>
        </w:trPr>
        <w:tc>
          <w:tcPr>
            <w:tcW w:w="1417" w:type="dxa"/>
            <w:vMerge/>
            <w:shd w:val="clear" w:color="auto" w:fill="auto"/>
          </w:tcPr>
          <w:p w14:paraId="6003352D"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761BDB95"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25C3D3F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FK2</w:t>
            </w:r>
          </w:p>
        </w:tc>
        <w:tc>
          <w:tcPr>
            <w:tcW w:w="3573" w:type="dxa"/>
            <w:shd w:val="clear" w:color="auto" w:fill="auto"/>
          </w:tcPr>
          <w:p w14:paraId="64A7C036"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Organizations are determined to provide value to consumers.</w:t>
            </w:r>
          </w:p>
        </w:tc>
        <w:tc>
          <w:tcPr>
            <w:tcW w:w="1628" w:type="dxa"/>
            <w:vMerge/>
            <w:shd w:val="clear" w:color="auto" w:fill="auto"/>
          </w:tcPr>
          <w:p w14:paraId="1285BFC5"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18DCDB52" w14:textId="77777777">
        <w:trPr>
          <w:trHeight w:val="160"/>
        </w:trPr>
        <w:tc>
          <w:tcPr>
            <w:tcW w:w="1417" w:type="dxa"/>
            <w:vMerge/>
            <w:shd w:val="clear" w:color="auto" w:fill="auto"/>
          </w:tcPr>
          <w:p w14:paraId="0AA443DB"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5ACBF19D"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5D00F1B2"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FK3</w:t>
            </w:r>
          </w:p>
        </w:tc>
        <w:tc>
          <w:tcPr>
            <w:tcW w:w="3573" w:type="dxa"/>
            <w:shd w:val="clear" w:color="auto" w:fill="auto"/>
          </w:tcPr>
          <w:p w14:paraId="08451574"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The organization meets consumer criteria.</w:t>
            </w:r>
          </w:p>
        </w:tc>
        <w:tc>
          <w:tcPr>
            <w:tcW w:w="1628" w:type="dxa"/>
            <w:vMerge/>
            <w:shd w:val="clear" w:color="auto" w:fill="auto"/>
          </w:tcPr>
          <w:p w14:paraId="5D54CA2C"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4D858780" w14:textId="77777777">
        <w:trPr>
          <w:trHeight w:val="70"/>
        </w:trPr>
        <w:tc>
          <w:tcPr>
            <w:tcW w:w="1417" w:type="dxa"/>
            <w:vMerge/>
            <w:shd w:val="clear" w:color="auto" w:fill="auto"/>
          </w:tcPr>
          <w:p w14:paraId="6BD68A64"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2088019C"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1CB28B13"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FK4</w:t>
            </w:r>
          </w:p>
        </w:tc>
        <w:tc>
          <w:tcPr>
            <w:tcW w:w="3573" w:type="dxa"/>
            <w:shd w:val="clear" w:color="auto" w:fill="auto"/>
          </w:tcPr>
          <w:p w14:paraId="088E23BC"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The organization supports environmentally friendly practices for consumers.</w:t>
            </w:r>
          </w:p>
        </w:tc>
        <w:tc>
          <w:tcPr>
            <w:tcW w:w="1628" w:type="dxa"/>
            <w:vMerge/>
            <w:shd w:val="clear" w:color="auto" w:fill="auto"/>
          </w:tcPr>
          <w:p w14:paraId="4FFD8FE1"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4AA280B9" w14:textId="77777777">
        <w:trPr>
          <w:trHeight w:val="200"/>
        </w:trPr>
        <w:tc>
          <w:tcPr>
            <w:tcW w:w="1417" w:type="dxa"/>
            <w:vMerge/>
            <w:shd w:val="clear" w:color="auto" w:fill="auto"/>
          </w:tcPr>
          <w:p w14:paraId="16AC0E66"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8" w:type="dxa"/>
            <w:vMerge/>
            <w:shd w:val="clear" w:color="auto" w:fill="auto"/>
          </w:tcPr>
          <w:p w14:paraId="61B10AD0"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50" w:type="dxa"/>
            <w:shd w:val="clear" w:color="auto" w:fill="auto"/>
          </w:tcPr>
          <w:p w14:paraId="5FF8AA66"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FK5</w:t>
            </w:r>
          </w:p>
        </w:tc>
        <w:tc>
          <w:tcPr>
            <w:tcW w:w="3573" w:type="dxa"/>
            <w:shd w:val="clear" w:color="auto" w:fill="auto"/>
          </w:tcPr>
          <w:p w14:paraId="61ADE6EA"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Consumers provide feedback on quality and delivery performance.</w:t>
            </w:r>
          </w:p>
        </w:tc>
        <w:tc>
          <w:tcPr>
            <w:tcW w:w="1628" w:type="dxa"/>
            <w:vMerge/>
            <w:shd w:val="clear" w:color="auto" w:fill="auto"/>
          </w:tcPr>
          <w:p w14:paraId="6780935F"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bl>
    <w:p w14:paraId="5731118C" w14:textId="77777777" w:rsidR="00852C70" w:rsidRDefault="00852C70">
      <w:pPr>
        <w:widowControl w:val="0"/>
        <w:autoSpaceDE w:val="0"/>
        <w:autoSpaceDN w:val="0"/>
        <w:adjustRightInd w:val="0"/>
        <w:spacing w:before="19" w:after="0" w:line="260" w:lineRule="exact"/>
        <w:ind w:left="720"/>
        <w:jc w:val="both"/>
        <w:rPr>
          <w:rFonts w:ascii="Times New Roman" w:hAnsi="Times New Roman"/>
          <w:bCs/>
          <w:sz w:val="24"/>
          <w:szCs w:val="24"/>
          <w:lang w:val="id-ID"/>
        </w:rPr>
      </w:pPr>
    </w:p>
    <w:p w14:paraId="107B079F" w14:textId="77777777" w:rsidR="00852C70" w:rsidRDefault="000A1714">
      <w:pPr>
        <w:widowControl w:val="0"/>
        <w:autoSpaceDE w:val="0"/>
        <w:autoSpaceDN w:val="0"/>
        <w:adjustRightInd w:val="0"/>
        <w:spacing w:before="19" w:after="0" w:line="260" w:lineRule="exact"/>
        <w:jc w:val="both"/>
        <w:rPr>
          <w:rFonts w:ascii="Times New Roman" w:hAnsi="Times New Roman"/>
          <w:b/>
          <w:bCs/>
          <w:sz w:val="24"/>
          <w:szCs w:val="24"/>
          <w:lang w:val="id-ID"/>
        </w:rPr>
      </w:pPr>
      <w:r>
        <w:rPr>
          <w:rFonts w:ascii="Times New Roman" w:hAnsi="Times New Roman"/>
          <w:b/>
          <w:bCs/>
          <w:sz w:val="24"/>
          <w:szCs w:val="24"/>
        </w:rPr>
        <w:t xml:space="preserve">3.2.2. </w:t>
      </w:r>
      <w:r>
        <w:rPr>
          <w:rFonts w:ascii="Times New Roman" w:hAnsi="Times New Roman"/>
          <w:b/>
          <w:bCs/>
          <w:sz w:val="24"/>
          <w:szCs w:val="24"/>
          <w:lang w:val="id-ID"/>
        </w:rPr>
        <w:t xml:space="preserve">Dependent Variable ( </w:t>
      </w:r>
      <w:r>
        <w:rPr>
          <w:rFonts w:ascii="Times New Roman" w:hAnsi="Times New Roman"/>
          <w:b/>
          <w:bCs/>
          <w:i/>
          <w:sz w:val="24"/>
          <w:szCs w:val="24"/>
          <w:lang w:val="id-ID"/>
        </w:rPr>
        <w:t xml:space="preserve">Independent Variable </w:t>
      </w:r>
      <w:r>
        <w:rPr>
          <w:rFonts w:ascii="Times New Roman" w:hAnsi="Times New Roman"/>
          <w:b/>
          <w:bCs/>
          <w:sz w:val="24"/>
          <w:szCs w:val="24"/>
          <w:lang w:val="id-ID"/>
        </w:rPr>
        <w:t>)</w:t>
      </w:r>
    </w:p>
    <w:p w14:paraId="5AE0177B" w14:textId="77777777" w:rsidR="00852C70" w:rsidRDefault="000A1714">
      <w:pPr>
        <w:widowControl w:val="0"/>
        <w:autoSpaceDE w:val="0"/>
        <w:autoSpaceDN w:val="0"/>
        <w:adjustRightInd w:val="0"/>
        <w:spacing w:before="19" w:after="0" w:line="260" w:lineRule="exact"/>
        <w:ind w:firstLine="720"/>
        <w:jc w:val="both"/>
        <w:rPr>
          <w:rFonts w:ascii="Times New Roman" w:hAnsi="Times New Roman"/>
          <w:sz w:val="24"/>
          <w:szCs w:val="24"/>
          <w:lang w:val="id-ID"/>
        </w:rPr>
      </w:pPr>
      <w:r>
        <w:rPr>
          <w:rFonts w:ascii="Times New Roman" w:hAnsi="Times New Roman"/>
          <w:bCs/>
          <w:sz w:val="24"/>
          <w:szCs w:val="24"/>
        </w:rPr>
        <w:t xml:space="preserve">The dependent variable is a variable that is influenced by the independent variable (Supomo, 1999). This research uses manufacturing company performance variables because they are thought to be influenced by environmental management accounting practices as an independent variable. Manufacturing company performance is a </w:t>
      </w:r>
      <w:r>
        <w:rPr>
          <w:rFonts w:ascii="Times New Roman" w:hAnsi="Times New Roman"/>
          <w:bCs/>
          <w:sz w:val="24"/>
          <w:szCs w:val="24"/>
          <w:lang w:val="id-ID"/>
        </w:rPr>
        <w:t xml:space="preserve">condition where the company can meet predetermined targets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2019)","plainTextFormattedCitation":"(Mohd Fuzi et al., 2019)","previouslyFormattedCitation":"(Mohd Fuzi et al., 2019)"},"properties":{"noteIndex":0},"schema":"https://github.com/citation-style-language/schema/raw/master/csl-citation.json"}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(Mohd Fuzi et al., 2019) </w:t>
      </w:r>
      <w:r>
        <w:rPr>
          <w:rFonts w:ascii="Times New Roman" w:hAnsi="Times New Roman"/>
          <w:bCs/>
          <w:sz w:val="24"/>
          <w:szCs w:val="24"/>
        </w:rPr>
        <w:fldChar w:fldCharType="end"/>
      </w:r>
      <w:r>
        <w:rPr>
          <w:rFonts w:ascii="Times New Roman" w:hAnsi="Times New Roman"/>
          <w:bCs/>
          <w:sz w:val="24"/>
          <w:szCs w:val="24"/>
        </w:rPr>
        <w:t>. In this research, the performance of manufacturing companies is measured in 2020.</w:t>
      </w:r>
    </w:p>
    <w:p w14:paraId="61F1B6C7" w14:textId="77777777" w:rsidR="00852C70" w:rsidRDefault="00852C70">
      <w:pPr>
        <w:widowControl w:val="0"/>
        <w:autoSpaceDE w:val="0"/>
        <w:autoSpaceDN w:val="0"/>
        <w:adjustRightInd w:val="0"/>
        <w:spacing w:before="19" w:after="0" w:line="260" w:lineRule="exact"/>
        <w:ind w:left="709"/>
        <w:jc w:val="both"/>
        <w:rPr>
          <w:rFonts w:ascii="Times New Roman" w:hAnsi="Times New Roman"/>
          <w:sz w:val="24"/>
          <w:szCs w:val="24"/>
          <w:lang w:val="id-ID"/>
        </w:rPr>
      </w:pPr>
    </w:p>
    <w:p w14:paraId="10FDDC1E" w14:textId="77777777" w:rsidR="00852C70" w:rsidRDefault="000A1714">
      <w:pPr>
        <w:widowControl w:val="0"/>
        <w:autoSpaceDE w:val="0"/>
        <w:autoSpaceDN w:val="0"/>
        <w:adjustRightInd w:val="0"/>
        <w:spacing w:before="19" w:after="0" w:line="260" w:lineRule="exact"/>
        <w:ind w:left="720"/>
        <w:jc w:val="center"/>
        <w:rPr>
          <w:rFonts w:ascii="Times New Roman" w:hAnsi="Times New Roman"/>
          <w:sz w:val="24"/>
          <w:szCs w:val="24"/>
          <w:lang w:val="id-ID"/>
        </w:rPr>
      </w:pPr>
      <w:r>
        <w:rPr>
          <w:rFonts w:ascii="Times New Roman" w:hAnsi="Times New Roman"/>
          <w:b/>
          <w:sz w:val="24"/>
          <w:szCs w:val="24"/>
          <w:lang w:val="id-ID"/>
        </w:rPr>
        <w:t xml:space="preserve">Table </w:t>
      </w:r>
      <w:r>
        <w:rPr>
          <w:rFonts w:ascii="Times New Roman" w:hAnsi="Times New Roman"/>
          <w:b/>
          <w:sz w:val="24"/>
          <w:szCs w:val="24"/>
        </w:rPr>
        <w:t xml:space="preserve">3. </w:t>
      </w:r>
      <w:r>
        <w:rPr>
          <w:rFonts w:ascii="Times New Roman" w:hAnsi="Times New Roman"/>
          <w:b/>
          <w:sz w:val="24"/>
          <w:szCs w:val="24"/>
          <w:lang w:val="id-ID"/>
        </w:rPr>
        <w:t>2.</w:t>
      </w:r>
      <w:r>
        <w:rPr>
          <w:rFonts w:ascii="Times New Roman" w:hAnsi="Times New Roman"/>
          <w:sz w:val="24"/>
          <w:szCs w:val="24"/>
          <w:lang w:val="id-ID"/>
        </w:rPr>
        <w:t xml:space="preserve"> </w:t>
      </w:r>
      <w:r>
        <w:rPr>
          <w:rFonts w:ascii="Times New Roman" w:hAnsi="Times New Roman"/>
          <w:sz w:val="24"/>
          <w:szCs w:val="24"/>
        </w:rPr>
        <w:t xml:space="preserve">Constructs </w:t>
      </w:r>
      <w:r>
        <w:rPr>
          <w:rFonts w:ascii="Times New Roman" w:hAnsi="Times New Roman"/>
          <w:sz w:val="24"/>
          <w:szCs w:val="24"/>
          <w:lang w:val="id-ID"/>
        </w:rPr>
        <w:t>and Variable Question Items</w:t>
      </w:r>
    </w:p>
    <w:p w14:paraId="75F22CFB" w14:textId="77777777" w:rsidR="00852C70" w:rsidRDefault="000A1714">
      <w:pPr>
        <w:widowControl w:val="0"/>
        <w:autoSpaceDE w:val="0"/>
        <w:autoSpaceDN w:val="0"/>
        <w:adjustRightInd w:val="0"/>
        <w:spacing w:before="19" w:after="0" w:line="260" w:lineRule="exact"/>
        <w:ind w:left="720"/>
        <w:jc w:val="center"/>
        <w:rPr>
          <w:rFonts w:ascii="Times New Roman" w:hAnsi="Times New Roman"/>
          <w:sz w:val="24"/>
          <w:szCs w:val="24"/>
          <w:lang w:val="id-ID"/>
        </w:rPr>
      </w:pPr>
      <w:r>
        <w:rPr>
          <w:rFonts w:ascii="Times New Roman" w:hAnsi="Times New Roman"/>
          <w:sz w:val="24"/>
          <w:szCs w:val="24"/>
          <w:lang w:val="id-ID"/>
        </w:rPr>
        <w:t>Manufacturing Company Performance.</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416"/>
        <w:gridCol w:w="844"/>
        <w:gridCol w:w="3584"/>
        <w:gridCol w:w="1701"/>
      </w:tblGrid>
      <w:tr w:rsidR="00852C70" w:rsidRPr="00B65E81" w14:paraId="43834631" w14:textId="77777777">
        <w:trPr>
          <w:trHeight w:val="195"/>
        </w:trPr>
        <w:tc>
          <w:tcPr>
            <w:tcW w:w="1414" w:type="dxa"/>
            <w:shd w:val="clear" w:color="auto" w:fill="D9D9D9"/>
          </w:tcPr>
          <w:p w14:paraId="66B4A154"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Variable</w:t>
            </w:r>
          </w:p>
        </w:tc>
        <w:tc>
          <w:tcPr>
            <w:tcW w:w="1416" w:type="dxa"/>
            <w:shd w:val="clear" w:color="auto" w:fill="D9D9D9"/>
          </w:tcPr>
          <w:p w14:paraId="3A9DEF01"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rPr>
            </w:pPr>
            <w:r w:rsidRPr="00B65E81">
              <w:rPr>
                <w:rFonts w:ascii="Times New Roman" w:hAnsi="Times New Roman"/>
                <w:sz w:val="20"/>
                <w:szCs w:val="20"/>
              </w:rPr>
              <w:t>Construct</w:t>
            </w:r>
          </w:p>
        </w:tc>
        <w:tc>
          <w:tcPr>
            <w:tcW w:w="844" w:type="dxa"/>
            <w:shd w:val="clear" w:color="auto" w:fill="D9D9D9"/>
          </w:tcPr>
          <w:p w14:paraId="57E6CAE2"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Code</w:t>
            </w:r>
          </w:p>
          <w:p w14:paraId="4C0231EB"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rPr>
            </w:pPr>
            <w:r w:rsidRPr="00B65E81">
              <w:rPr>
                <w:rFonts w:ascii="Times New Roman" w:hAnsi="Times New Roman"/>
                <w:sz w:val="20"/>
                <w:szCs w:val="20"/>
              </w:rPr>
              <w:t>items</w:t>
            </w:r>
          </w:p>
        </w:tc>
        <w:tc>
          <w:tcPr>
            <w:tcW w:w="3584" w:type="dxa"/>
            <w:shd w:val="clear" w:color="auto" w:fill="D9D9D9"/>
          </w:tcPr>
          <w:p w14:paraId="0B41DAD8"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Question Items</w:t>
            </w:r>
          </w:p>
        </w:tc>
        <w:tc>
          <w:tcPr>
            <w:tcW w:w="1701" w:type="dxa"/>
            <w:shd w:val="clear" w:color="auto" w:fill="D9D9D9"/>
          </w:tcPr>
          <w:p w14:paraId="7875351B"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Instrument source</w:t>
            </w:r>
          </w:p>
        </w:tc>
      </w:tr>
      <w:tr w:rsidR="00852C70" w:rsidRPr="00B65E81" w14:paraId="1866AF7C" w14:textId="77777777">
        <w:tblPrEx>
          <w:tblLook w:val="04A0" w:firstRow="1" w:lastRow="0" w:firstColumn="1" w:lastColumn="0" w:noHBand="0" w:noVBand="1"/>
        </w:tblPrEx>
        <w:trPr>
          <w:trHeight w:val="180"/>
        </w:trPr>
        <w:tc>
          <w:tcPr>
            <w:tcW w:w="1414" w:type="dxa"/>
            <w:vMerge w:val="restart"/>
            <w:shd w:val="clear" w:color="auto" w:fill="auto"/>
          </w:tcPr>
          <w:p w14:paraId="1E28A988"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Manufacturing Company Performance</w:t>
            </w:r>
          </w:p>
        </w:tc>
        <w:tc>
          <w:tcPr>
            <w:tcW w:w="1416" w:type="dxa"/>
            <w:vMerge w:val="restart"/>
            <w:shd w:val="clear" w:color="auto" w:fill="auto"/>
          </w:tcPr>
          <w:p w14:paraId="18FC972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Financial performance</w:t>
            </w:r>
          </w:p>
        </w:tc>
        <w:tc>
          <w:tcPr>
            <w:tcW w:w="844" w:type="dxa"/>
            <w:shd w:val="clear" w:color="auto" w:fill="auto"/>
          </w:tcPr>
          <w:p w14:paraId="2D409235"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KK1</w:t>
            </w:r>
          </w:p>
        </w:tc>
        <w:tc>
          <w:tcPr>
            <w:tcW w:w="3584" w:type="dxa"/>
            <w:shd w:val="clear" w:color="auto" w:fill="auto"/>
          </w:tcPr>
          <w:p w14:paraId="2135D492"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Increased sales growth.</w:t>
            </w:r>
          </w:p>
        </w:tc>
        <w:tc>
          <w:tcPr>
            <w:tcW w:w="1701" w:type="dxa"/>
            <w:vMerge w:val="restart"/>
            <w:shd w:val="clear" w:color="auto" w:fill="auto"/>
          </w:tcPr>
          <w:p w14:paraId="2928AC4C"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{"citationItems":[{"id":"ITEM-1","itemData":{"author":[{"dropping-particle":"","family":"Purnendu Mandal","given":"Kallol Bagchi","non-dropping-particle":"","parse-names":false,"suffix":""}],"id":"ITEM-1","issued":{"date-parts":[["2016"]]},"title":"Industrial Management &amp; Data Systems","type":"article-journal"},"uris":["http://www.mendeley.com/documents/?uuid=7e4d12fa-8d4b-4328-b75c-23f3522c0566"]}],"mendeley":{"formattedCitation":"(Purnendu Mandal, 2016)","plainTextFormattedCitation":"(Purnendu Mandal, 2016)","previouslyFormattedCitation":"(Purnendu Mandal, 2016)"},"properties":{"noteIndex":0},"schema":"https://github.com/citation-style-language/schema/raw/master/csl-citation.json"}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(Purnendu Mandal, 2016)</w:t>
            </w:r>
            <w:r w:rsidRPr="00B65E81">
              <w:rPr>
                <w:rFonts w:ascii="Times New Roman" w:hAnsi="Times New Roman"/>
                <w:sz w:val="20"/>
                <w:szCs w:val="20"/>
                <w:lang w:val="id-ID"/>
              </w:rPr>
              <w:fldChar w:fldCharType="end"/>
            </w:r>
          </w:p>
        </w:tc>
      </w:tr>
      <w:tr w:rsidR="00852C70" w:rsidRPr="00B65E81" w14:paraId="0F7FBFF0" w14:textId="77777777">
        <w:tblPrEx>
          <w:tblLook w:val="04A0" w:firstRow="1" w:lastRow="0" w:firstColumn="1" w:lastColumn="0" w:noHBand="0" w:noVBand="1"/>
        </w:tblPrEx>
        <w:trPr>
          <w:trHeight w:val="90"/>
        </w:trPr>
        <w:tc>
          <w:tcPr>
            <w:tcW w:w="1414" w:type="dxa"/>
            <w:vMerge/>
            <w:shd w:val="clear" w:color="auto" w:fill="auto"/>
          </w:tcPr>
          <w:p w14:paraId="3666F3A7"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shd w:val="clear" w:color="auto" w:fill="auto"/>
          </w:tcPr>
          <w:p w14:paraId="269E0BB6"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4" w:type="dxa"/>
            <w:shd w:val="clear" w:color="auto" w:fill="auto"/>
          </w:tcPr>
          <w:p w14:paraId="183407E2"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KK2</w:t>
            </w:r>
          </w:p>
        </w:tc>
        <w:tc>
          <w:tcPr>
            <w:tcW w:w="3584" w:type="dxa"/>
            <w:shd w:val="clear" w:color="auto" w:fill="auto"/>
          </w:tcPr>
          <w:p w14:paraId="1F1F1683"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Increased profit growth.</w:t>
            </w:r>
          </w:p>
        </w:tc>
        <w:tc>
          <w:tcPr>
            <w:tcW w:w="1701" w:type="dxa"/>
            <w:vMerge/>
            <w:shd w:val="clear" w:color="auto" w:fill="auto"/>
          </w:tcPr>
          <w:p w14:paraId="06AF55EB"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66C7E7E0" w14:textId="77777777">
        <w:tblPrEx>
          <w:tblLook w:val="04A0" w:firstRow="1" w:lastRow="0" w:firstColumn="1" w:lastColumn="0" w:noHBand="0" w:noVBand="1"/>
        </w:tblPrEx>
        <w:trPr>
          <w:trHeight w:val="170"/>
        </w:trPr>
        <w:tc>
          <w:tcPr>
            <w:tcW w:w="1414" w:type="dxa"/>
            <w:vMerge/>
            <w:shd w:val="clear" w:color="auto" w:fill="auto"/>
          </w:tcPr>
          <w:p w14:paraId="32F30A11"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shd w:val="clear" w:color="auto" w:fill="auto"/>
          </w:tcPr>
          <w:p w14:paraId="30D60AA3"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4" w:type="dxa"/>
            <w:shd w:val="clear" w:color="auto" w:fill="auto"/>
          </w:tcPr>
          <w:p w14:paraId="1E62EE9A"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KK3</w:t>
            </w:r>
          </w:p>
        </w:tc>
        <w:tc>
          <w:tcPr>
            <w:tcW w:w="3584" w:type="dxa"/>
            <w:shd w:val="clear" w:color="auto" w:fill="auto"/>
          </w:tcPr>
          <w:p w14:paraId="54684630"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Increased operating income.</w:t>
            </w:r>
          </w:p>
        </w:tc>
        <w:tc>
          <w:tcPr>
            <w:tcW w:w="1701" w:type="dxa"/>
            <w:vMerge/>
            <w:shd w:val="clear" w:color="auto" w:fill="auto"/>
          </w:tcPr>
          <w:p w14:paraId="3F597AC7"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086D8BB2" w14:textId="77777777">
        <w:tblPrEx>
          <w:tblLook w:val="04A0" w:firstRow="1" w:lastRow="0" w:firstColumn="1" w:lastColumn="0" w:noHBand="0" w:noVBand="1"/>
        </w:tblPrEx>
        <w:trPr>
          <w:trHeight w:val="150"/>
        </w:trPr>
        <w:tc>
          <w:tcPr>
            <w:tcW w:w="1414" w:type="dxa"/>
            <w:vMerge/>
            <w:shd w:val="clear" w:color="auto" w:fill="auto"/>
          </w:tcPr>
          <w:p w14:paraId="1E177670"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shd w:val="clear" w:color="auto" w:fill="auto"/>
          </w:tcPr>
          <w:p w14:paraId="0527560C"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4" w:type="dxa"/>
            <w:shd w:val="clear" w:color="auto" w:fill="auto"/>
          </w:tcPr>
          <w:p w14:paraId="511CB60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KK4</w:t>
            </w:r>
          </w:p>
        </w:tc>
        <w:tc>
          <w:tcPr>
            <w:tcW w:w="3584" w:type="dxa"/>
            <w:shd w:val="clear" w:color="auto" w:fill="auto"/>
          </w:tcPr>
          <w:p w14:paraId="558099DD"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Increased return on investment.</w:t>
            </w:r>
          </w:p>
        </w:tc>
        <w:tc>
          <w:tcPr>
            <w:tcW w:w="1701" w:type="dxa"/>
            <w:vMerge/>
            <w:shd w:val="clear" w:color="auto" w:fill="auto"/>
          </w:tcPr>
          <w:p w14:paraId="419B9345"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7DDDA521" w14:textId="77777777">
        <w:tblPrEx>
          <w:tblLook w:val="04A0" w:firstRow="1" w:lastRow="0" w:firstColumn="1" w:lastColumn="0" w:noHBand="0" w:noVBand="1"/>
        </w:tblPrEx>
        <w:trPr>
          <w:trHeight w:val="250"/>
        </w:trPr>
        <w:tc>
          <w:tcPr>
            <w:tcW w:w="1414" w:type="dxa"/>
            <w:vMerge/>
            <w:shd w:val="clear" w:color="auto" w:fill="auto"/>
          </w:tcPr>
          <w:p w14:paraId="6D94E608"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shd w:val="clear" w:color="auto" w:fill="auto"/>
          </w:tcPr>
          <w:p w14:paraId="0449ADDB"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4" w:type="dxa"/>
            <w:shd w:val="clear" w:color="auto" w:fill="auto"/>
          </w:tcPr>
          <w:p w14:paraId="199F623C"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KK5</w:t>
            </w:r>
          </w:p>
        </w:tc>
        <w:tc>
          <w:tcPr>
            <w:tcW w:w="3584" w:type="dxa"/>
            <w:shd w:val="clear" w:color="auto" w:fill="auto"/>
          </w:tcPr>
          <w:p w14:paraId="128849B4"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Reduced costs.</w:t>
            </w:r>
          </w:p>
        </w:tc>
        <w:tc>
          <w:tcPr>
            <w:tcW w:w="1701" w:type="dxa"/>
            <w:vMerge/>
            <w:shd w:val="clear" w:color="auto" w:fill="auto"/>
          </w:tcPr>
          <w:p w14:paraId="118030D2"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419D2910" w14:textId="77777777">
        <w:tblPrEx>
          <w:tblLook w:val="04A0" w:firstRow="1" w:lastRow="0" w:firstColumn="1" w:lastColumn="0" w:noHBand="0" w:noVBand="1"/>
        </w:tblPrEx>
        <w:trPr>
          <w:trHeight w:val="200"/>
        </w:trPr>
        <w:tc>
          <w:tcPr>
            <w:tcW w:w="1414" w:type="dxa"/>
            <w:vMerge/>
            <w:shd w:val="clear" w:color="auto" w:fill="auto"/>
          </w:tcPr>
          <w:p w14:paraId="3B14CFB6"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val="restart"/>
            <w:shd w:val="clear" w:color="auto" w:fill="auto"/>
          </w:tcPr>
          <w:p w14:paraId="2871422D"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Operational Performance</w:t>
            </w:r>
          </w:p>
        </w:tc>
        <w:tc>
          <w:tcPr>
            <w:tcW w:w="844" w:type="dxa"/>
            <w:shd w:val="clear" w:color="auto" w:fill="auto"/>
          </w:tcPr>
          <w:p w14:paraId="1C046FA6"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KO1</w:t>
            </w:r>
          </w:p>
        </w:tc>
        <w:tc>
          <w:tcPr>
            <w:tcW w:w="3584" w:type="dxa"/>
            <w:shd w:val="clear" w:color="auto" w:fill="auto"/>
          </w:tcPr>
          <w:p w14:paraId="713BE8BA"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Increased product quality.</w:t>
            </w:r>
          </w:p>
        </w:tc>
        <w:tc>
          <w:tcPr>
            <w:tcW w:w="1701" w:type="dxa"/>
            <w:vMerge w:val="restart"/>
            <w:shd w:val="clear" w:color="auto" w:fill="auto"/>
          </w:tcPr>
          <w:p w14:paraId="225C14F8"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DOI":"10.1108/ITP-09-2013-0167","author":[{"dropping-particle":"","family":"Muganda","given":"Nixon","non-dropping-particle":"","parse-names":false,"suffix":""},{"dropping-particle":"","family":"John","given":"Ochara","non-dropping-particle":"","parse-names":false,"suffix":""},{"dropping-particle":"","family":"Roy","given":"Kandiri","non-dropping-particle":"","parse-names":false,"suffix":""},{"dropping-particle":"","family":"Ochara","given":"Nixon Muganda","non-dropping-particle":"","parse-names":false,"suffix":""},{"dropping-particle":"","family":"Kandiri","given":"John","non-dropping-particle":"","parse-names":false,"suffix":""},{"dropping-particle":"","family":"Johnson","given":"Roy","non-dropping-particle":"","parse-names":false,"suffix":""}],"id":"ITEM-1","issued":{"date-parts":[["2014"]]},"title":"technology projects in Africa Influence processes of implementation effectiveness in challenged information technology projects in Africa","type":"article-journal"},"uris":["http://www.mendeley.com/documents/?uuid=97d45808-9312-468e-852e-91ea740fb881"]}],"mendeley":{"formattedCitation":"(Muganda et al., 2014)","plainTextFormattedCitation":"(Muganda et al., 2014)","previouslyFormattedCitation":"(Muganda et al., 2014)"},"properties":{"noteIndex":0},"schema":"https://github.com/citation-style-language/schema/raw/master/csl-citation.json"}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(Muganda et al., 2014)</w:t>
            </w:r>
            <w:r w:rsidRPr="00B65E81">
              <w:rPr>
                <w:rFonts w:ascii="Times New Roman" w:hAnsi="Times New Roman"/>
                <w:sz w:val="20"/>
                <w:szCs w:val="20"/>
                <w:lang w:val="id-ID"/>
              </w:rPr>
              <w:fldChar w:fldCharType="end"/>
            </w:r>
          </w:p>
        </w:tc>
      </w:tr>
      <w:tr w:rsidR="00852C70" w:rsidRPr="00B65E81" w14:paraId="1C66FEF4" w14:textId="77777777">
        <w:tblPrEx>
          <w:tblLook w:val="04A0" w:firstRow="1" w:lastRow="0" w:firstColumn="1" w:lastColumn="0" w:noHBand="0" w:noVBand="1"/>
        </w:tblPrEx>
        <w:trPr>
          <w:trHeight w:val="70"/>
        </w:trPr>
        <w:tc>
          <w:tcPr>
            <w:tcW w:w="1414" w:type="dxa"/>
            <w:vMerge/>
            <w:shd w:val="clear" w:color="auto" w:fill="auto"/>
          </w:tcPr>
          <w:p w14:paraId="453D22C7"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shd w:val="clear" w:color="auto" w:fill="auto"/>
          </w:tcPr>
          <w:p w14:paraId="556C0F92"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4" w:type="dxa"/>
            <w:shd w:val="clear" w:color="auto" w:fill="auto"/>
          </w:tcPr>
          <w:p w14:paraId="2D9E47B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KO2</w:t>
            </w:r>
          </w:p>
        </w:tc>
        <w:tc>
          <w:tcPr>
            <w:tcW w:w="3584" w:type="dxa"/>
            <w:shd w:val="clear" w:color="auto" w:fill="auto"/>
          </w:tcPr>
          <w:p w14:paraId="2C3295C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Improved operational processes.</w:t>
            </w:r>
          </w:p>
        </w:tc>
        <w:tc>
          <w:tcPr>
            <w:tcW w:w="1701" w:type="dxa"/>
            <w:vMerge/>
            <w:shd w:val="clear" w:color="auto" w:fill="auto"/>
          </w:tcPr>
          <w:p w14:paraId="2BA963D0"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2D39E38F" w14:textId="77777777">
        <w:tblPrEx>
          <w:tblLook w:val="04A0" w:firstRow="1" w:lastRow="0" w:firstColumn="1" w:lastColumn="0" w:noHBand="0" w:noVBand="1"/>
        </w:tblPrEx>
        <w:trPr>
          <w:trHeight w:val="120"/>
        </w:trPr>
        <w:tc>
          <w:tcPr>
            <w:tcW w:w="1414" w:type="dxa"/>
            <w:vMerge/>
            <w:shd w:val="clear" w:color="auto" w:fill="auto"/>
          </w:tcPr>
          <w:p w14:paraId="364F88B2"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shd w:val="clear" w:color="auto" w:fill="auto"/>
          </w:tcPr>
          <w:p w14:paraId="243BD508"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4" w:type="dxa"/>
            <w:shd w:val="clear" w:color="auto" w:fill="auto"/>
          </w:tcPr>
          <w:p w14:paraId="26684882"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KO3</w:t>
            </w:r>
          </w:p>
        </w:tc>
        <w:tc>
          <w:tcPr>
            <w:tcW w:w="3584" w:type="dxa"/>
            <w:shd w:val="clear" w:color="auto" w:fill="auto"/>
          </w:tcPr>
          <w:p w14:paraId="09B26A56"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Increased operational efficiency.</w:t>
            </w:r>
          </w:p>
        </w:tc>
        <w:tc>
          <w:tcPr>
            <w:tcW w:w="1701" w:type="dxa"/>
            <w:vMerge/>
            <w:shd w:val="clear" w:color="auto" w:fill="auto"/>
          </w:tcPr>
          <w:p w14:paraId="1CA6272E"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60025ACF" w14:textId="77777777">
        <w:tblPrEx>
          <w:tblLook w:val="04A0" w:firstRow="1" w:lastRow="0" w:firstColumn="1" w:lastColumn="0" w:noHBand="0" w:noVBand="1"/>
        </w:tblPrEx>
        <w:trPr>
          <w:trHeight w:val="80"/>
        </w:trPr>
        <w:tc>
          <w:tcPr>
            <w:tcW w:w="1414" w:type="dxa"/>
            <w:vMerge/>
            <w:shd w:val="clear" w:color="auto" w:fill="auto"/>
          </w:tcPr>
          <w:p w14:paraId="20DBA23E"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shd w:val="clear" w:color="auto" w:fill="auto"/>
          </w:tcPr>
          <w:p w14:paraId="24EBEE54"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4" w:type="dxa"/>
            <w:shd w:val="clear" w:color="auto" w:fill="auto"/>
          </w:tcPr>
          <w:p w14:paraId="0A22E323"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KO4</w:t>
            </w:r>
          </w:p>
        </w:tc>
        <w:tc>
          <w:tcPr>
            <w:tcW w:w="3584" w:type="dxa"/>
            <w:shd w:val="clear" w:color="auto" w:fill="auto"/>
          </w:tcPr>
          <w:p w14:paraId="7770684A"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The number of goods delivered on time increases.</w:t>
            </w:r>
          </w:p>
        </w:tc>
        <w:tc>
          <w:tcPr>
            <w:tcW w:w="1701" w:type="dxa"/>
            <w:vMerge/>
            <w:shd w:val="clear" w:color="auto" w:fill="auto"/>
          </w:tcPr>
          <w:p w14:paraId="2E5DD007"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3755FEFA" w14:textId="77777777">
        <w:tblPrEx>
          <w:tblLook w:val="04A0" w:firstRow="1" w:lastRow="0" w:firstColumn="1" w:lastColumn="0" w:noHBand="0" w:noVBand="1"/>
        </w:tblPrEx>
        <w:trPr>
          <w:trHeight w:val="190"/>
        </w:trPr>
        <w:tc>
          <w:tcPr>
            <w:tcW w:w="1414" w:type="dxa"/>
            <w:vMerge/>
            <w:shd w:val="clear" w:color="auto" w:fill="auto"/>
          </w:tcPr>
          <w:p w14:paraId="55628EDD"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16" w:type="dxa"/>
            <w:vMerge/>
            <w:shd w:val="clear" w:color="auto" w:fill="auto"/>
          </w:tcPr>
          <w:p w14:paraId="410FA20E"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4" w:type="dxa"/>
            <w:shd w:val="clear" w:color="auto" w:fill="auto"/>
          </w:tcPr>
          <w:p w14:paraId="0FC8D0E6"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KO5</w:t>
            </w:r>
          </w:p>
        </w:tc>
        <w:tc>
          <w:tcPr>
            <w:tcW w:w="3584" w:type="dxa"/>
            <w:shd w:val="clear" w:color="auto" w:fill="auto"/>
          </w:tcPr>
          <w:p w14:paraId="2602CAE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Reduced operational costs.</w:t>
            </w:r>
          </w:p>
        </w:tc>
        <w:tc>
          <w:tcPr>
            <w:tcW w:w="1701" w:type="dxa"/>
            <w:vMerge/>
            <w:shd w:val="clear" w:color="auto" w:fill="auto"/>
          </w:tcPr>
          <w:p w14:paraId="542F5829"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bl>
    <w:p w14:paraId="79238DBD" w14:textId="77777777" w:rsidR="00852C70" w:rsidRDefault="00852C70">
      <w:pPr>
        <w:widowControl w:val="0"/>
        <w:autoSpaceDE w:val="0"/>
        <w:autoSpaceDN w:val="0"/>
        <w:adjustRightInd w:val="0"/>
        <w:spacing w:before="19" w:after="0" w:line="260" w:lineRule="exact"/>
        <w:ind w:left="709"/>
        <w:jc w:val="both"/>
        <w:rPr>
          <w:rFonts w:ascii="Times New Roman" w:hAnsi="Times New Roman"/>
          <w:bCs/>
          <w:sz w:val="24"/>
          <w:szCs w:val="24"/>
        </w:rPr>
      </w:pPr>
    </w:p>
    <w:p w14:paraId="64019274" w14:textId="77777777" w:rsidR="00852C70" w:rsidRDefault="000A1714">
      <w:pPr>
        <w:widowControl w:val="0"/>
        <w:autoSpaceDE w:val="0"/>
        <w:autoSpaceDN w:val="0"/>
        <w:adjustRightInd w:val="0"/>
        <w:spacing w:before="19" w:after="0" w:line="260" w:lineRule="exact"/>
        <w:jc w:val="both"/>
        <w:rPr>
          <w:rFonts w:ascii="Times New Roman" w:hAnsi="Times New Roman"/>
          <w:b/>
          <w:bCs/>
          <w:sz w:val="24"/>
          <w:szCs w:val="24"/>
          <w:lang w:val="id-ID"/>
        </w:rPr>
      </w:pPr>
      <w:r>
        <w:rPr>
          <w:rFonts w:ascii="Times New Roman" w:hAnsi="Times New Roman"/>
          <w:b/>
          <w:bCs/>
          <w:sz w:val="24"/>
          <w:szCs w:val="24"/>
        </w:rPr>
        <w:t xml:space="preserve">3.2.3. </w:t>
      </w:r>
      <w:r>
        <w:rPr>
          <w:rFonts w:ascii="Times New Roman" w:hAnsi="Times New Roman"/>
          <w:b/>
          <w:bCs/>
          <w:i/>
          <w:sz w:val="24"/>
          <w:szCs w:val="24"/>
          <w:lang w:val="id-ID"/>
        </w:rPr>
        <w:t xml:space="preserve">Intervening </w:t>
      </w:r>
      <w:r>
        <w:rPr>
          <w:rFonts w:ascii="Times New Roman" w:hAnsi="Times New Roman"/>
          <w:b/>
          <w:bCs/>
          <w:sz w:val="24"/>
          <w:szCs w:val="24"/>
          <w:lang w:val="id-ID"/>
        </w:rPr>
        <w:t xml:space="preserve">Variable ( </w:t>
      </w:r>
      <w:r>
        <w:rPr>
          <w:rFonts w:ascii="Times New Roman" w:hAnsi="Times New Roman"/>
          <w:b/>
          <w:bCs/>
          <w:i/>
          <w:sz w:val="24"/>
          <w:szCs w:val="24"/>
          <w:lang w:val="id-ID"/>
        </w:rPr>
        <w:t xml:space="preserve">Intervening Variable </w:t>
      </w:r>
      <w:r>
        <w:rPr>
          <w:rFonts w:ascii="Times New Roman" w:hAnsi="Times New Roman"/>
          <w:b/>
          <w:bCs/>
          <w:sz w:val="24"/>
          <w:szCs w:val="24"/>
          <w:lang w:val="id-ID"/>
        </w:rPr>
        <w:t>)</w:t>
      </w:r>
    </w:p>
    <w:p w14:paraId="2B5C63A7" w14:textId="77777777" w:rsidR="00852C70" w:rsidRDefault="000A1714">
      <w:pPr>
        <w:widowControl w:val="0"/>
        <w:autoSpaceDE w:val="0"/>
        <w:autoSpaceDN w:val="0"/>
        <w:adjustRightInd w:val="0"/>
        <w:spacing w:before="19" w:after="0" w:line="260" w:lineRule="exact"/>
        <w:ind w:firstLine="709"/>
        <w:jc w:val="both"/>
        <w:rPr>
          <w:rFonts w:ascii="Times New Roman" w:hAnsi="Times New Roman"/>
          <w:bCs/>
          <w:sz w:val="24"/>
          <w:szCs w:val="24"/>
        </w:rPr>
      </w:pPr>
      <w:r>
        <w:rPr>
          <w:rFonts w:ascii="Times New Roman" w:hAnsi="Times New Roman"/>
          <w:bCs/>
          <w:sz w:val="24"/>
          <w:szCs w:val="24"/>
        </w:rPr>
        <w:t xml:space="preserve">Intervening variables are variables that influence the relationship between the independent variable and the dependent variable into an indirect relationship. This is because the intervening variable interrupts the independent variable and the dependent variable so that the independent variable does not directly influence the dependent variable (Sugiyono, 2007). </w:t>
      </w:r>
      <w:r>
        <w:rPr>
          <w:rFonts w:ascii="Times New Roman" w:hAnsi="Times New Roman"/>
          <w:bCs/>
          <w:sz w:val="24"/>
          <w:szCs w:val="24"/>
        </w:rPr>
        <w:lastRenderedPageBreak/>
        <w:t xml:space="preserve">In this research, information systems are an intervening variable that influences the indirect relationship between environmental management accounting practices and manufacturing company performance. An information system is </w:t>
      </w:r>
      <w:r>
        <w:rPr>
          <w:rFonts w:ascii="Times New Roman" w:hAnsi="Times New Roman"/>
          <w:bCs/>
          <w:sz w:val="24"/>
          <w:szCs w:val="24"/>
          <w:lang w:val="id-ID"/>
        </w:rPr>
        <w:t>a system applied to companies that engage in data processing so as to produce output in the form of information that can be used for internal and external purposes (Mohd Fuzi et al., 2019).</w:t>
      </w:r>
    </w:p>
    <w:p w14:paraId="1267CCA5" w14:textId="77777777" w:rsidR="00852C70" w:rsidRDefault="00852C70">
      <w:pPr>
        <w:widowControl w:val="0"/>
        <w:autoSpaceDE w:val="0"/>
        <w:autoSpaceDN w:val="0"/>
        <w:adjustRightInd w:val="0"/>
        <w:spacing w:before="19" w:after="0" w:line="260" w:lineRule="exact"/>
        <w:ind w:left="709"/>
        <w:jc w:val="both"/>
        <w:rPr>
          <w:rFonts w:ascii="Times New Roman" w:hAnsi="Times New Roman"/>
          <w:bCs/>
          <w:sz w:val="24"/>
          <w:szCs w:val="24"/>
          <w:lang w:val="id-ID"/>
        </w:rPr>
      </w:pPr>
    </w:p>
    <w:p w14:paraId="33229AA7" w14:textId="77777777" w:rsidR="00852C70" w:rsidRDefault="000A1714">
      <w:pPr>
        <w:widowControl w:val="0"/>
        <w:autoSpaceDE w:val="0"/>
        <w:autoSpaceDN w:val="0"/>
        <w:adjustRightInd w:val="0"/>
        <w:spacing w:before="19" w:after="0" w:line="260" w:lineRule="exact"/>
        <w:ind w:left="720"/>
        <w:jc w:val="center"/>
        <w:rPr>
          <w:rFonts w:ascii="Times New Roman" w:hAnsi="Times New Roman"/>
          <w:sz w:val="24"/>
          <w:szCs w:val="24"/>
          <w:lang w:val="id-ID"/>
        </w:rPr>
      </w:pPr>
      <w:r>
        <w:rPr>
          <w:rFonts w:ascii="Times New Roman" w:hAnsi="Times New Roman"/>
          <w:b/>
          <w:sz w:val="24"/>
          <w:szCs w:val="24"/>
          <w:lang w:val="id-ID"/>
        </w:rPr>
        <w:t xml:space="preserve">Table 3. </w:t>
      </w:r>
      <w:r>
        <w:rPr>
          <w:rFonts w:ascii="Times New Roman" w:hAnsi="Times New Roman"/>
          <w:b/>
          <w:sz w:val="24"/>
          <w:szCs w:val="24"/>
        </w:rPr>
        <w:t>3.</w:t>
      </w:r>
      <w:r>
        <w:rPr>
          <w:rFonts w:ascii="Times New Roman" w:hAnsi="Times New Roman"/>
          <w:sz w:val="24"/>
          <w:szCs w:val="24"/>
          <w:lang w:val="id-ID"/>
        </w:rPr>
        <w:t xml:space="preserve"> </w:t>
      </w:r>
      <w:r>
        <w:rPr>
          <w:rFonts w:ascii="Times New Roman" w:hAnsi="Times New Roman"/>
          <w:sz w:val="24"/>
          <w:szCs w:val="24"/>
        </w:rPr>
        <w:t xml:space="preserve">Constructs </w:t>
      </w:r>
      <w:r>
        <w:rPr>
          <w:rFonts w:ascii="Times New Roman" w:hAnsi="Times New Roman"/>
          <w:sz w:val="24"/>
          <w:szCs w:val="24"/>
          <w:lang w:val="id-ID"/>
        </w:rPr>
        <w:t>and Question Items Information System Variables.</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1408"/>
        <w:gridCol w:w="842"/>
        <w:gridCol w:w="3603"/>
        <w:gridCol w:w="1701"/>
      </w:tblGrid>
      <w:tr w:rsidR="00852C70" w:rsidRPr="00B65E81" w14:paraId="77150738" w14:textId="77777777">
        <w:trPr>
          <w:trHeight w:val="219"/>
        </w:trPr>
        <w:tc>
          <w:tcPr>
            <w:tcW w:w="1405" w:type="dxa"/>
            <w:shd w:val="clear" w:color="auto" w:fill="D9D9D9"/>
          </w:tcPr>
          <w:p w14:paraId="5193C1CC"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Variable</w:t>
            </w:r>
          </w:p>
        </w:tc>
        <w:tc>
          <w:tcPr>
            <w:tcW w:w="1408" w:type="dxa"/>
            <w:shd w:val="clear" w:color="auto" w:fill="D9D9D9"/>
          </w:tcPr>
          <w:p w14:paraId="2C7E93BD"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rPr>
            </w:pPr>
            <w:r w:rsidRPr="00B65E81">
              <w:rPr>
                <w:rFonts w:ascii="Times New Roman" w:hAnsi="Times New Roman"/>
                <w:sz w:val="20"/>
                <w:szCs w:val="20"/>
              </w:rPr>
              <w:t>Construct</w:t>
            </w:r>
          </w:p>
        </w:tc>
        <w:tc>
          <w:tcPr>
            <w:tcW w:w="842" w:type="dxa"/>
            <w:shd w:val="clear" w:color="auto" w:fill="D9D9D9"/>
          </w:tcPr>
          <w:p w14:paraId="0EF69154"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code</w:t>
            </w:r>
          </w:p>
        </w:tc>
        <w:tc>
          <w:tcPr>
            <w:tcW w:w="3603" w:type="dxa"/>
            <w:shd w:val="clear" w:color="auto" w:fill="D9D9D9"/>
          </w:tcPr>
          <w:p w14:paraId="24320AED"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Question Items</w:t>
            </w:r>
          </w:p>
        </w:tc>
        <w:tc>
          <w:tcPr>
            <w:tcW w:w="1701" w:type="dxa"/>
            <w:shd w:val="clear" w:color="auto" w:fill="D9D9D9"/>
          </w:tcPr>
          <w:p w14:paraId="2ED9DD8C"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Instrument source</w:t>
            </w:r>
          </w:p>
        </w:tc>
      </w:tr>
      <w:tr w:rsidR="00852C70" w:rsidRPr="00B65E81" w14:paraId="5B402F54" w14:textId="77777777">
        <w:tblPrEx>
          <w:tblLook w:val="04A0" w:firstRow="1" w:lastRow="0" w:firstColumn="1" w:lastColumn="0" w:noHBand="0" w:noVBand="1"/>
        </w:tblPrEx>
        <w:trPr>
          <w:trHeight w:val="100"/>
        </w:trPr>
        <w:tc>
          <w:tcPr>
            <w:tcW w:w="1405" w:type="dxa"/>
            <w:vMerge w:val="restart"/>
            <w:shd w:val="clear" w:color="auto" w:fill="auto"/>
          </w:tcPr>
          <w:p w14:paraId="7CC2D47E" w14:textId="77777777" w:rsidR="00852C70" w:rsidRPr="00B65E81" w:rsidRDefault="000A1714">
            <w:pPr>
              <w:widowControl w:val="0"/>
              <w:autoSpaceDE w:val="0"/>
              <w:autoSpaceDN w:val="0"/>
              <w:adjustRightInd w:val="0"/>
              <w:spacing w:before="19" w:after="0" w:line="260" w:lineRule="exact"/>
              <w:jc w:val="center"/>
              <w:rPr>
                <w:rFonts w:ascii="Times New Roman" w:hAnsi="Times New Roman"/>
                <w:sz w:val="20"/>
                <w:szCs w:val="20"/>
                <w:lang w:val="id-ID"/>
              </w:rPr>
            </w:pPr>
            <w:r w:rsidRPr="00B65E81">
              <w:rPr>
                <w:rFonts w:ascii="Times New Roman" w:hAnsi="Times New Roman"/>
                <w:sz w:val="20"/>
                <w:szCs w:val="20"/>
                <w:lang w:val="id-ID"/>
              </w:rPr>
              <w:t>Information Systems</w:t>
            </w:r>
          </w:p>
        </w:tc>
        <w:tc>
          <w:tcPr>
            <w:tcW w:w="1408" w:type="dxa"/>
            <w:vMerge w:val="restart"/>
            <w:shd w:val="clear" w:color="auto" w:fill="auto"/>
          </w:tcPr>
          <w:p w14:paraId="595EEE5E"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Technology</w:t>
            </w:r>
          </w:p>
        </w:tc>
        <w:tc>
          <w:tcPr>
            <w:tcW w:w="842" w:type="dxa"/>
            <w:shd w:val="clear" w:color="auto" w:fill="auto"/>
          </w:tcPr>
          <w:p w14:paraId="29EB6B16"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TK1</w:t>
            </w:r>
          </w:p>
        </w:tc>
        <w:tc>
          <w:tcPr>
            <w:tcW w:w="3603" w:type="dxa"/>
            <w:shd w:val="clear" w:color="auto" w:fill="auto"/>
          </w:tcPr>
          <w:p w14:paraId="4777E3CA"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Providing information technology within the company.</w:t>
            </w:r>
          </w:p>
        </w:tc>
        <w:tc>
          <w:tcPr>
            <w:tcW w:w="1701" w:type="dxa"/>
            <w:vMerge w:val="restart"/>
            <w:shd w:val="clear" w:color="auto" w:fill="auto"/>
          </w:tcPr>
          <w:p w14:paraId="5D6A8A15"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DOI":"10.1108/IJOPM-11-2010-0374","author":[{"dropping-particle":"","family":"Dwyer","given":"Rocky","non-dropping-particle":"","parse-names":false,"suffix":""},{"dropping-particle":"","family":"Lamond","given":"David","non-dropping-particle":"","parse-names":false,"suffix":""},{"dropping-particle":"","family":"Molina-azorín","given":"José F","non-dropping-particle":"","parse-names":false,"suffix":""},{"dropping-particle":"","family":"Claver-cortés","given":"Enrique","non-dropping-particle":"","parse-names":false,"suffix":""},{"dropping-particle":"","family":"López-gamero","given":"Maria D","non-dropping-particle":"","parse-names":false,"suffix":""}],"id":"ITEM-1","issued":{"date-parts":[["2013"]]},"title":"Environmental protection and financial performance : an empirical analysis in Wales","type":"article-journal"},"uris":["http://www.mendeley.com/documents/?uuid=0bbbb615-f432-417d-aa0d-5bb69ec2bacd"]}],"mendeley":{"formattedCitation":"(Dwyer et al., 2013)","plainTextFormattedCitation":"(Dwyer et al., 2013)","previouslyFormattedCitation":"(Dwyer et al., 2013)"},"properties":{"noteIndex":0},"schema":"https://github.com/citation-style-language/schema/raw/master/csl-citation.json"}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(Dwyer et al., 2013)</w:t>
            </w:r>
            <w:r w:rsidRPr="00B65E81">
              <w:rPr>
                <w:rFonts w:ascii="Times New Roman" w:hAnsi="Times New Roman"/>
                <w:sz w:val="20"/>
                <w:szCs w:val="20"/>
                <w:lang w:val="id-ID"/>
              </w:rPr>
              <w:fldChar w:fldCharType="end"/>
            </w:r>
          </w:p>
        </w:tc>
      </w:tr>
      <w:tr w:rsidR="00852C70" w:rsidRPr="00B65E81" w14:paraId="259EA98A" w14:textId="77777777">
        <w:tblPrEx>
          <w:tblLook w:val="04A0" w:firstRow="1" w:lastRow="0" w:firstColumn="1" w:lastColumn="0" w:noHBand="0" w:noVBand="1"/>
        </w:tblPrEx>
        <w:trPr>
          <w:trHeight w:val="170"/>
        </w:trPr>
        <w:tc>
          <w:tcPr>
            <w:tcW w:w="1405" w:type="dxa"/>
            <w:vMerge/>
            <w:shd w:val="clear" w:color="auto" w:fill="auto"/>
          </w:tcPr>
          <w:p w14:paraId="48649257"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shd w:val="clear" w:color="auto" w:fill="auto"/>
          </w:tcPr>
          <w:p w14:paraId="554EF1DD"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2" w:type="dxa"/>
            <w:shd w:val="clear" w:color="auto" w:fill="auto"/>
          </w:tcPr>
          <w:p w14:paraId="50A19874"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TK2</w:t>
            </w:r>
          </w:p>
        </w:tc>
        <w:tc>
          <w:tcPr>
            <w:tcW w:w="3603" w:type="dxa"/>
            <w:shd w:val="clear" w:color="auto" w:fill="auto"/>
          </w:tcPr>
          <w:p w14:paraId="62628CEE"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Providing data collection within the company.</w:t>
            </w:r>
          </w:p>
        </w:tc>
        <w:tc>
          <w:tcPr>
            <w:tcW w:w="1701" w:type="dxa"/>
            <w:vMerge/>
            <w:shd w:val="clear" w:color="auto" w:fill="auto"/>
          </w:tcPr>
          <w:p w14:paraId="79C56AC9"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58B7EDC5" w14:textId="77777777">
        <w:tblPrEx>
          <w:tblLook w:val="04A0" w:firstRow="1" w:lastRow="0" w:firstColumn="1" w:lastColumn="0" w:noHBand="0" w:noVBand="1"/>
        </w:tblPrEx>
        <w:trPr>
          <w:trHeight w:val="80"/>
        </w:trPr>
        <w:tc>
          <w:tcPr>
            <w:tcW w:w="1405" w:type="dxa"/>
            <w:vMerge/>
            <w:shd w:val="clear" w:color="auto" w:fill="auto"/>
          </w:tcPr>
          <w:p w14:paraId="52DAEB2C"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shd w:val="clear" w:color="auto" w:fill="auto"/>
          </w:tcPr>
          <w:p w14:paraId="337CE13C"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2" w:type="dxa"/>
            <w:shd w:val="clear" w:color="auto" w:fill="auto"/>
          </w:tcPr>
          <w:p w14:paraId="58D98400"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TK3</w:t>
            </w:r>
          </w:p>
        </w:tc>
        <w:tc>
          <w:tcPr>
            <w:tcW w:w="3603" w:type="dxa"/>
            <w:shd w:val="clear" w:color="auto" w:fill="auto"/>
          </w:tcPr>
          <w:p w14:paraId="2BA9DF9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Providing data processing within the company.</w:t>
            </w:r>
          </w:p>
        </w:tc>
        <w:tc>
          <w:tcPr>
            <w:tcW w:w="1701" w:type="dxa"/>
            <w:vMerge/>
            <w:shd w:val="clear" w:color="auto" w:fill="auto"/>
          </w:tcPr>
          <w:p w14:paraId="2EF3C421"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504275BA" w14:textId="77777777">
        <w:tblPrEx>
          <w:tblLook w:val="04A0" w:firstRow="1" w:lastRow="0" w:firstColumn="1" w:lastColumn="0" w:noHBand="0" w:noVBand="1"/>
        </w:tblPrEx>
        <w:trPr>
          <w:trHeight w:val="210"/>
        </w:trPr>
        <w:tc>
          <w:tcPr>
            <w:tcW w:w="1405" w:type="dxa"/>
            <w:vMerge/>
            <w:shd w:val="clear" w:color="auto" w:fill="auto"/>
          </w:tcPr>
          <w:p w14:paraId="232978DB"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shd w:val="clear" w:color="auto" w:fill="auto"/>
          </w:tcPr>
          <w:p w14:paraId="090E3EAE"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2" w:type="dxa"/>
            <w:shd w:val="clear" w:color="auto" w:fill="auto"/>
          </w:tcPr>
          <w:p w14:paraId="028759E1"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TK4</w:t>
            </w:r>
          </w:p>
        </w:tc>
        <w:tc>
          <w:tcPr>
            <w:tcW w:w="3603" w:type="dxa"/>
            <w:shd w:val="clear" w:color="auto" w:fill="auto"/>
          </w:tcPr>
          <w:p w14:paraId="1D8FB6DA"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Applying database software in the company.</w:t>
            </w:r>
          </w:p>
        </w:tc>
        <w:tc>
          <w:tcPr>
            <w:tcW w:w="1701" w:type="dxa"/>
            <w:vMerge/>
            <w:shd w:val="clear" w:color="auto" w:fill="auto"/>
          </w:tcPr>
          <w:p w14:paraId="2D667FD2"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004649B5" w14:textId="77777777">
        <w:tblPrEx>
          <w:tblLook w:val="04A0" w:firstRow="1" w:lastRow="0" w:firstColumn="1" w:lastColumn="0" w:noHBand="0" w:noVBand="1"/>
        </w:tblPrEx>
        <w:trPr>
          <w:trHeight w:val="70"/>
        </w:trPr>
        <w:tc>
          <w:tcPr>
            <w:tcW w:w="1405" w:type="dxa"/>
            <w:vMerge/>
            <w:shd w:val="clear" w:color="auto" w:fill="auto"/>
          </w:tcPr>
          <w:p w14:paraId="20AB43A1"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shd w:val="clear" w:color="auto" w:fill="auto"/>
          </w:tcPr>
          <w:p w14:paraId="654E2FE8"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2" w:type="dxa"/>
            <w:shd w:val="clear" w:color="auto" w:fill="auto"/>
          </w:tcPr>
          <w:p w14:paraId="0390CED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TK5</w:t>
            </w:r>
          </w:p>
        </w:tc>
        <w:tc>
          <w:tcPr>
            <w:tcW w:w="3603" w:type="dxa"/>
            <w:shd w:val="clear" w:color="auto" w:fill="auto"/>
          </w:tcPr>
          <w:p w14:paraId="655CF097"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Supporting information technology for decision making.</w:t>
            </w:r>
          </w:p>
        </w:tc>
        <w:tc>
          <w:tcPr>
            <w:tcW w:w="1701" w:type="dxa"/>
            <w:vMerge/>
            <w:shd w:val="clear" w:color="auto" w:fill="auto"/>
          </w:tcPr>
          <w:p w14:paraId="3986B7CF"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21294C44" w14:textId="77777777">
        <w:tblPrEx>
          <w:tblLook w:val="04A0" w:firstRow="1" w:lastRow="0" w:firstColumn="1" w:lastColumn="0" w:noHBand="0" w:noVBand="1"/>
        </w:tblPrEx>
        <w:trPr>
          <w:trHeight w:val="60"/>
        </w:trPr>
        <w:tc>
          <w:tcPr>
            <w:tcW w:w="1405" w:type="dxa"/>
            <w:vMerge/>
            <w:shd w:val="clear" w:color="auto" w:fill="auto"/>
          </w:tcPr>
          <w:p w14:paraId="23865F80"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val="restart"/>
            <w:shd w:val="clear" w:color="auto" w:fill="auto"/>
          </w:tcPr>
          <w:p w14:paraId="750A748F"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Process</w:t>
            </w:r>
          </w:p>
        </w:tc>
        <w:tc>
          <w:tcPr>
            <w:tcW w:w="842" w:type="dxa"/>
            <w:shd w:val="clear" w:color="auto" w:fill="auto"/>
          </w:tcPr>
          <w:p w14:paraId="2D268FFB"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PR1</w:t>
            </w:r>
          </w:p>
        </w:tc>
        <w:tc>
          <w:tcPr>
            <w:tcW w:w="3603" w:type="dxa"/>
            <w:shd w:val="clear" w:color="auto" w:fill="auto"/>
          </w:tcPr>
          <w:p w14:paraId="3B6E57BE"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The company pays attention to the production process.</w:t>
            </w:r>
          </w:p>
        </w:tc>
        <w:tc>
          <w:tcPr>
            <w:tcW w:w="1701" w:type="dxa"/>
            <w:vMerge w:val="restart"/>
            <w:shd w:val="clear" w:color="auto" w:fill="auto"/>
          </w:tcPr>
          <w:p w14:paraId="1328D969"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fldChar w:fldCharType="begin"/>
            </w:r>
            <w:r w:rsidRPr="00B65E81">
              <w:rPr>
                <w:rFonts w:ascii="Times New Roman" w:hAnsi="Times New Roman"/>
                <w:sz w:val="20"/>
                <w:szCs w:val="20"/>
                <w:lang w:val="id-ID"/>
              </w:rPr>
              <w:instrText>ADDIN CSL_CITATION {"citationItems":[{"id":"ITEM-1","itemData":{"author":[{"dropping-particle":"","family":"Adebanjo, D., Teh, P.-L., &amp; Ahmed","given":"PK","non-dropping-particle":"","parse-names":false,"suffix":""}],"id":"ITEM-1","issued":{"date-parts":[["2016"]]},"title":"Article information : The impact of external pressure and sustainable management practices on manufacturing performance and environmental outcomes","type":"article-journal"},"uris":["http://www.mendeley.com/documents/?uuid=23468ae2-6b96-44c0-b3bd-b50431bd3996"]}],"mendeley":{"formattedCitation":"(Adebanjo, D., Teh, P.-L., &amp; Ahmed, 2016)","plainTextFormattedCitation":"(Adebanjo, D., Teh, P.-L., &amp; Ahmed, 2016)","previouslyFormattedCitation":"(Adebanjo, D., Teh, P.-L., &amp; Ahmed, 2016)"},"properties":{"noteIndex":0},"schema":"https://github.com/citation-style-language/schema/raw/master/csl-citation.json"}</w:instrText>
            </w:r>
            <w:r w:rsidRPr="00B65E81">
              <w:rPr>
                <w:rFonts w:ascii="Times New Roman" w:hAnsi="Times New Roman"/>
                <w:sz w:val="20"/>
                <w:szCs w:val="20"/>
                <w:lang w:val="id-ID"/>
              </w:rPr>
              <w:fldChar w:fldCharType="separate"/>
            </w:r>
            <w:r w:rsidRPr="00B65E81">
              <w:rPr>
                <w:rFonts w:ascii="Times New Roman" w:hAnsi="Times New Roman"/>
                <w:noProof/>
                <w:sz w:val="20"/>
                <w:szCs w:val="20"/>
                <w:lang w:val="id-ID"/>
              </w:rPr>
              <w:t>(Adebanjo, D., Teh, P.-L., &amp; Ahmed, 2016)</w:t>
            </w:r>
            <w:r w:rsidRPr="00B65E81">
              <w:rPr>
                <w:rFonts w:ascii="Times New Roman" w:hAnsi="Times New Roman"/>
                <w:sz w:val="20"/>
                <w:szCs w:val="20"/>
                <w:lang w:val="id-ID"/>
              </w:rPr>
              <w:fldChar w:fldCharType="end"/>
            </w:r>
          </w:p>
        </w:tc>
      </w:tr>
      <w:tr w:rsidR="00852C70" w:rsidRPr="00B65E81" w14:paraId="557B7B87" w14:textId="77777777">
        <w:tblPrEx>
          <w:tblLook w:val="04A0" w:firstRow="1" w:lastRow="0" w:firstColumn="1" w:lastColumn="0" w:noHBand="0" w:noVBand="1"/>
        </w:tblPrEx>
        <w:trPr>
          <w:trHeight w:val="210"/>
        </w:trPr>
        <w:tc>
          <w:tcPr>
            <w:tcW w:w="1405" w:type="dxa"/>
            <w:vMerge/>
            <w:shd w:val="clear" w:color="auto" w:fill="auto"/>
          </w:tcPr>
          <w:p w14:paraId="485F8C3E"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shd w:val="clear" w:color="auto" w:fill="auto"/>
          </w:tcPr>
          <w:p w14:paraId="14940190"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2" w:type="dxa"/>
            <w:shd w:val="clear" w:color="auto" w:fill="auto"/>
          </w:tcPr>
          <w:p w14:paraId="0D0CBF64"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PR2</w:t>
            </w:r>
          </w:p>
        </w:tc>
        <w:tc>
          <w:tcPr>
            <w:tcW w:w="3603" w:type="dxa"/>
            <w:shd w:val="clear" w:color="auto" w:fill="auto"/>
          </w:tcPr>
          <w:p w14:paraId="3D171D25"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The company oversees the operations process.</w:t>
            </w:r>
          </w:p>
        </w:tc>
        <w:tc>
          <w:tcPr>
            <w:tcW w:w="1701" w:type="dxa"/>
            <w:vMerge/>
            <w:shd w:val="clear" w:color="auto" w:fill="auto"/>
          </w:tcPr>
          <w:p w14:paraId="3AC5E8A9"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60B2E20B" w14:textId="77777777">
        <w:tblPrEx>
          <w:tblLook w:val="04A0" w:firstRow="1" w:lastRow="0" w:firstColumn="1" w:lastColumn="0" w:noHBand="0" w:noVBand="1"/>
        </w:tblPrEx>
        <w:trPr>
          <w:trHeight w:val="170"/>
        </w:trPr>
        <w:tc>
          <w:tcPr>
            <w:tcW w:w="1405" w:type="dxa"/>
            <w:vMerge/>
            <w:shd w:val="clear" w:color="auto" w:fill="auto"/>
          </w:tcPr>
          <w:p w14:paraId="7D3EC59A"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shd w:val="clear" w:color="auto" w:fill="auto"/>
          </w:tcPr>
          <w:p w14:paraId="6C2FA3CC"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2" w:type="dxa"/>
            <w:shd w:val="clear" w:color="auto" w:fill="auto"/>
          </w:tcPr>
          <w:p w14:paraId="7AABB6E0"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PR3</w:t>
            </w:r>
          </w:p>
        </w:tc>
        <w:tc>
          <w:tcPr>
            <w:tcW w:w="3603" w:type="dxa"/>
            <w:shd w:val="clear" w:color="auto" w:fill="auto"/>
          </w:tcPr>
          <w:p w14:paraId="2893B3A0"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The company evaluates the production process.</w:t>
            </w:r>
          </w:p>
        </w:tc>
        <w:tc>
          <w:tcPr>
            <w:tcW w:w="1701" w:type="dxa"/>
            <w:vMerge/>
            <w:shd w:val="clear" w:color="auto" w:fill="auto"/>
          </w:tcPr>
          <w:p w14:paraId="455ECB87"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742D3681" w14:textId="77777777">
        <w:tblPrEx>
          <w:tblLook w:val="04A0" w:firstRow="1" w:lastRow="0" w:firstColumn="1" w:lastColumn="0" w:noHBand="0" w:noVBand="1"/>
        </w:tblPrEx>
        <w:trPr>
          <w:trHeight w:val="140"/>
        </w:trPr>
        <w:tc>
          <w:tcPr>
            <w:tcW w:w="1405" w:type="dxa"/>
            <w:vMerge/>
            <w:shd w:val="clear" w:color="auto" w:fill="auto"/>
          </w:tcPr>
          <w:p w14:paraId="49969E55"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shd w:val="clear" w:color="auto" w:fill="auto"/>
          </w:tcPr>
          <w:p w14:paraId="3244F0A8"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2" w:type="dxa"/>
            <w:shd w:val="clear" w:color="auto" w:fill="auto"/>
          </w:tcPr>
          <w:p w14:paraId="19D12557"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PR4</w:t>
            </w:r>
          </w:p>
        </w:tc>
        <w:tc>
          <w:tcPr>
            <w:tcW w:w="3603" w:type="dxa"/>
            <w:shd w:val="clear" w:color="auto" w:fill="auto"/>
          </w:tcPr>
          <w:p w14:paraId="079238F3"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The company provides process development.</w:t>
            </w:r>
          </w:p>
        </w:tc>
        <w:tc>
          <w:tcPr>
            <w:tcW w:w="1701" w:type="dxa"/>
            <w:vMerge/>
            <w:shd w:val="clear" w:color="auto" w:fill="auto"/>
          </w:tcPr>
          <w:p w14:paraId="0F9F7A8D"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r w:rsidR="00852C70" w:rsidRPr="00B65E81" w14:paraId="6B6777AF" w14:textId="77777777">
        <w:tblPrEx>
          <w:tblLook w:val="04A0" w:firstRow="1" w:lastRow="0" w:firstColumn="1" w:lastColumn="0" w:noHBand="0" w:noVBand="1"/>
        </w:tblPrEx>
        <w:trPr>
          <w:trHeight w:val="220"/>
        </w:trPr>
        <w:tc>
          <w:tcPr>
            <w:tcW w:w="1405" w:type="dxa"/>
            <w:vMerge/>
            <w:shd w:val="clear" w:color="auto" w:fill="auto"/>
          </w:tcPr>
          <w:p w14:paraId="0590F76A" w14:textId="77777777" w:rsidR="00852C70" w:rsidRPr="00B65E81" w:rsidRDefault="00852C70">
            <w:pPr>
              <w:widowControl w:val="0"/>
              <w:autoSpaceDE w:val="0"/>
              <w:autoSpaceDN w:val="0"/>
              <w:adjustRightInd w:val="0"/>
              <w:spacing w:before="19" w:after="0" w:line="260" w:lineRule="exact"/>
              <w:jc w:val="center"/>
              <w:rPr>
                <w:rFonts w:ascii="Times New Roman" w:hAnsi="Times New Roman"/>
                <w:sz w:val="20"/>
                <w:szCs w:val="20"/>
                <w:lang w:val="id-ID"/>
              </w:rPr>
            </w:pPr>
          </w:p>
        </w:tc>
        <w:tc>
          <w:tcPr>
            <w:tcW w:w="1408" w:type="dxa"/>
            <w:vMerge/>
            <w:shd w:val="clear" w:color="auto" w:fill="auto"/>
          </w:tcPr>
          <w:p w14:paraId="25705D6C"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c>
          <w:tcPr>
            <w:tcW w:w="842" w:type="dxa"/>
            <w:shd w:val="clear" w:color="auto" w:fill="auto"/>
          </w:tcPr>
          <w:p w14:paraId="62BCCFC0"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PR5</w:t>
            </w:r>
          </w:p>
        </w:tc>
        <w:tc>
          <w:tcPr>
            <w:tcW w:w="3603" w:type="dxa"/>
            <w:shd w:val="clear" w:color="auto" w:fill="auto"/>
          </w:tcPr>
          <w:p w14:paraId="007AD896" w14:textId="77777777" w:rsidR="00852C70" w:rsidRPr="00B65E81" w:rsidRDefault="000A1714">
            <w:pPr>
              <w:widowControl w:val="0"/>
              <w:autoSpaceDE w:val="0"/>
              <w:autoSpaceDN w:val="0"/>
              <w:adjustRightInd w:val="0"/>
              <w:spacing w:before="19" w:after="0" w:line="260" w:lineRule="exact"/>
              <w:rPr>
                <w:rFonts w:ascii="Times New Roman" w:hAnsi="Times New Roman"/>
                <w:sz w:val="20"/>
                <w:szCs w:val="20"/>
                <w:lang w:val="id-ID"/>
              </w:rPr>
            </w:pPr>
            <w:r w:rsidRPr="00B65E81">
              <w:rPr>
                <w:rFonts w:ascii="Times New Roman" w:hAnsi="Times New Roman"/>
                <w:sz w:val="20"/>
                <w:szCs w:val="20"/>
                <w:lang w:val="id-ID"/>
              </w:rPr>
              <w:t>Companies improve process efficiency.</w:t>
            </w:r>
          </w:p>
        </w:tc>
        <w:tc>
          <w:tcPr>
            <w:tcW w:w="1701" w:type="dxa"/>
            <w:vMerge/>
            <w:shd w:val="clear" w:color="auto" w:fill="auto"/>
          </w:tcPr>
          <w:p w14:paraId="03D3B22F" w14:textId="77777777" w:rsidR="00852C70" w:rsidRPr="00B65E81" w:rsidRDefault="00852C70">
            <w:pPr>
              <w:widowControl w:val="0"/>
              <w:autoSpaceDE w:val="0"/>
              <w:autoSpaceDN w:val="0"/>
              <w:adjustRightInd w:val="0"/>
              <w:spacing w:before="19" w:after="0" w:line="260" w:lineRule="exact"/>
              <w:rPr>
                <w:rFonts w:ascii="Times New Roman" w:hAnsi="Times New Roman"/>
                <w:sz w:val="20"/>
                <w:szCs w:val="20"/>
                <w:lang w:val="id-ID"/>
              </w:rPr>
            </w:pPr>
          </w:p>
        </w:tc>
      </w:tr>
    </w:tbl>
    <w:p w14:paraId="7B676C44" w14:textId="77777777" w:rsidR="00852C70" w:rsidRDefault="00852C70">
      <w:pPr>
        <w:widowControl w:val="0"/>
        <w:autoSpaceDE w:val="0"/>
        <w:autoSpaceDN w:val="0"/>
        <w:adjustRightInd w:val="0"/>
        <w:spacing w:after="0" w:line="240" w:lineRule="auto"/>
        <w:ind w:left="101"/>
        <w:jc w:val="both"/>
        <w:rPr>
          <w:rFonts w:ascii="Times New Roman" w:hAnsi="Times New Roman"/>
          <w:b/>
          <w:bCs/>
          <w:sz w:val="24"/>
          <w:szCs w:val="24"/>
          <w:lang w:val="id-ID"/>
        </w:rPr>
      </w:pPr>
    </w:p>
    <w:p w14:paraId="49B158AD" w14:textId="77777777" w:rsidR="00852C70" w:rsidRDefault="000A1714">
      <w:pPr>
        <w:widowControl w:val="0"/>
        <w:autoSpaceDE w:val="0"/>
        <w:autoSpaceDN w:val="0"/>
        <w:adjustRightInd w:val="0"/>
        <w:spacing w:after="0" w:line="240" w:lineRule="auto"/>
        <w:ind w:left="101"/>
        <w:jc w:val="both"/>
        <w:rPr>
          <w:rFonts w:ascii="Times New Roman" w:hAnsi="Times New Roman"/>
          <w:b/>
          <w:bCs/>
          <w:sz w:val="24"/>
          <w:szCs w:val="24"/>
          <w:lang w:val="id-ID"/>
        </w:rPr>
      </w:pPr>
      <w:r>
        <w:rPr>
          <w:rFonts w:ascii="Times New Roman" w:hAnsi="Times New Roman"/>
          <w:b/>
          <w:bCs/>
          <w:sz w:val="24"/>
          <w:szCs w:val="24"/>
          <w:lang w:val="id-ID"/>
        </w:rPr>
        <w:t>3.3 Data Types and Sources</w:t>
      </w:r>
    </w:p>
    <w:p w14:paraId="33A3B4F2" w14:textId="77777777" w:rsidR="00852C70" w:rsidRDefault="000A1714">
      <w:pPr>
        <w:widowControl w:val="0"/>
        <w:autoSpaceDE w:val="0"/>
        <w:autoSpaceDN w:val="0"/>
        <w:adjustRightInd w:val="0"/>
        <w:spacing w:after="0" w:line="240" w:lineRule="auto"/>
        <w:ind w:left="101"/>
        <w:jc w:val="both"/>
        <w:rPr>
          <w:rFonts w:ascii="Times New Roman" w:hAnsi="Times New Roman"/>
          <w:bCs/>
          <w:sz w:val="24"/>
          <w:szCs w:val="24"/>
        </w:rPr>
      </w:pPr>
      <w:r>
        <w:rPr>
          <w:rFonts w:ascii="Times New Roman" w:hAnsi="Times New Roman"/>
          <w:b/>
          <w:bCs/>
          <w:sz w:val="24"/>
          <w:szCs w:val="24"/>
          <w:lang w:val="id-ID"/>
        </w:rPr>
        <w:tab/>
      </w:r>
      <w:r>
        <w:rPr>
          <w:rFonts w:ascii="Times New Roman" w:hAnsi="Times New Roman"/>
          <w:bCs/>
          <w:sz w:val="24"/>
          <w:szCs w:val="24"/>
        </w:rPr>
        <w:t xml:space="preserve">Primary data is used in this research because the data was collected by researchers from the first source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approach.","author":[{"dropping-particle":"","family":"Suliyanto","given":"","non-dropping-particle":"","parse-names":false,"suffix":""}],"container-title":"Journal of Chemical Information and Modeling","id":"ITEM-1","issue":"2","issued":{"date-parts":[["2017"]]},"page":"223-232","title":"Pelatihan Metode Pelatihan Kuantitatif","type":"article-journal","volume":"5"},"uris":["http://www.mendeley.com/documents/?uuid=bf2e7414-7ecc-4fee-897d-2080d7b4af63"]}],"mendeley":{"formattedCitation":"(Suliyanto, 2017)","plainTextFormattedCitation":"(Suliyanto, 2017)","previouslyFormattedCitation":"(Suliyanto, 2017)"},"properties":{"noteIndex":0},"schema":"https://github.com/citation-style-language/schema/raw/master/csl-citation.json"}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(Suliyanto, 2017) </w:t>
      </w:r>
      <w:r>
        <w:rPr>
          <w:rFonts w:ascii="Times New Roman" w:hAnsi="Times New Roman"/>
          <w:bCs/>
          <w:sz w:val="24"/>
          <w:szCs w:val="24"/>
        </w:rPr>
        <w:fldChar w:fldCharType="end"/>
      </w:r>
      <w:r>
        <w:rPr>
          <w:rFonts w:ascii="Times New Roman" w:hAnsi="Times New Roman"/>
          <w:bCs/>
          <w:sz w:val="24"/>
          <w:szCs w:val="24"/>
        </w:rPr>
        <w:t xml:space="preserve">. This data was obtained through a questionnaire which was created in an online format using </w:t>
      </w:r>
      <w:r>
        <w:rPr>
          <w:rFonts w:ascii="Times New Roman" w:hAnsi="Times New Roman"/>
          <w:bCs/>
          <w:i/>
          <w:sz w:val="24"/>
          <w:szCs w:val="24"/>
        </w:rPr>
        <w:t xml:space="preserve">Google Form </w:t>
      </w:r>
      <w:r>
        <w:rPr>
          <w:rFonts w:ascii="Times New Roman" w:hAnsi="Times New Roman"/>
          <w:bCs/>
          <w:sz w:val="24"/>
          <w:szCs w:val="24"/>
        </w:rPr>
        <w:t xml:space="preserve">and sent directly via email to manufacturing companies in Semarang City to support ease in obtaining data. The research instrument was measured using a </w:t>
      </w:r>
      <w:r>
        <w:rPr>
          <w:rFonts w:ascii="Times New Roman" w:hAnsi="Times New Roman"/>
          <w:bCs/>
          <w:i/>
          <w:sz w:val="24"/>
          <w:szCs w:val="24"/>
        </w:rPr>
        <w:t xml:space="preserve">Likert measurement scale </w:t>
      </w:r>
      <w:r>
        <w:rPr>
          <w:rFonts w:ascii="Times New Roman" w:hAnsi="Times New Roman"/>
          <w:bCs/>
          <w:sz w:val="24"/>
          <w:szCs w:val="24"/>
        </w:rPr>
        <w:t xml:space="preserve">. The </w:t>
      </w:r>
      <w:r>
        <w:rPr>
          <w:rFonts w:ascii="Times New Roman" w:hAnsi="Times New Roman"/>
          <w:bCs/>
          <w:i/>
          <w:sz w:val="24"/>
          <w:szCs w:val="24"/>
        </w:rPr>
        <w:t xml:space="preserve">Likert </w:t>
      </w:r>
      <w:r>
        <w:rPr>
          <w:rFonts w:ascii="Times New Roman" w:hAnsi="Times New Roman"/>
          <w:bCs/>
          <w:sz w:val="24"/>
          <w:szCs w:val="24"/>
        </w:rPr>
        <w:t xml:space="preserve">scale is a measuring tool that provides several questions to measure an individual's behavior by responding to several choice points provided in each question item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{"citationItems":[{"id":"ITEM-1","itemData":{"DOI":"10.4135/9781412961288.n454","abstract":"The project conceived in 1929 by Gardner Murphy and the writer aimed first to present a wide array of problems having to do with five major \"attitude areas\"—international relations, race relations, economic conflict, political conflict, and religion. The kind of questionnaire material falls into four classes: yes-no, multiple choice, propositions to be responded to by degrees of approval, and a series of brief newspaper narratives to be approved or disapproved in various degrees. The monograph aims to describe a technique rather than to give results. The appendix, covering ten pages, shows the method of constructing an attitude scale. A bibliography is also given. (PsycINFO Database Record (c) 2012 APA, all rights reserved)","author":[{"dropping-particle":"","family":"likert","given":"","non-dropping-particle":"","parse-names":false,"suffix":""}],"container-title":"Encyclopedia of Research Design","id":"ITEM-1","issued":{"date-parts":[["1932"]]},"title":"“Technique for the Measurement of Attitudes, A”","type":"article-journal"},"uris":["http://www.mendeley.com/documents/?uuid=982be50c-39ed-49b2-a6ea-79a7c47d6c53"]}],"mendeley":{"formattedCitation":"(likert, 1932)","plainTextFormattedCitation":"(likert, 1932)","previouslyFormattedCitation":"(likert, 1932)"},"properties":{"noteIndex":0},"schema":"https://github.com/citation-style-language/schema/raw/master/csl-citation.json"}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(Likert, 1932) </w:t>
      </w:r>
      <w:r>
        <w:rPr>
          <w:rFonts w:ascii="Times New Roman" w:hAnsi="Times New Roman"/>
          <w:bCs/>
          <w:sz w:val="24"/>
          <w:szCs w:val="24"/>
        </w:rPr>
        <w:fldChar w:fldCharType="end"/>
      </w:r>
      <w:r>
        <w:rPr>
          <w:rFonts w:ascii="Times New Roman" w:hAnsi="Times New Roman"/>
          <w:bCs/>
          <w:sz w:val="24"/>
          <w:szCs w:val="24"/>
        </w:rPr>
        <w:t>.</w:t>
      </w:r>
    </w:p>
    <w:p w14:paraId="2A61886C" w14:textId="77777777" w:rsidR="00852C70" w:rsidRDefault="00852C70">
      <w:pPr>
        <w:widowControl w:val="0"/>
        <w:autoSpaceDE w:val="0"/>
        <w:autoSpaceDN w:val="0"/>
        <w:adjustRightInd w:val="0"/>
        <w:spacing w:after="0" w:line="240" w:lineRule="auto"/>
        <w:ind w:left="101"/>
        <w:jc w:val="both"/>
        <w:rPr>
          <w:rFonts w:ascii="Times New Roman" w:hAnsi="Times New Roman"/>
          <w:bCs/>
          <w:sz w:val="24"/>
          <w:szCs w:val="24"/>
        </w:rPr>
      </w:pPr>
    </w:p>
    <w:p w14:paraId="7ABB6F46" w14:textId="77777777" w:rsidR="00852C70" w:rsidRDefault="000A1714">
      <w:pPr>
        <w:widowControl w:val="0"/>
        <w:autoSpaceDE w:val="0"/>
        <w:autoSpaceDN w:val="0"/>
        <w:adjustRightInd w:val="0"/>
        <w:spacing w:after="0" w:line="240" w:lineRule="auto"/>
        <w:ind w:left="101"/>
        <w:jc w:val="both"/>
        <w:rPr>
          <w:rFonts w:ascii="Times New Roman" w:hAnsi="Times New Roman"/>
          <w:b/>
          <w:bCs/>
          <w:sz w:val="24"/>
          <w:szCs w:val="24"/>
          <w:lang w:val="id-ID"/>
        </w:rPr>
      </w:pPr>
      <w:r>
        <w:rPr>
          <w:rFonts w:ascii="Times New Roman" w:hAnsi="Times New Roman"/>
          <w:b/>
          <w:bCs/>
          <w:sz w:val="24"/>
          <w:szCs w:val="24"/>
          <w:lang w:val="id-ID"/>
        </w:rPr>
        <w:t>3.4 Data Collection Methods</w:t>
      </w:r>
    </w:p>
    <w:p w14:paraId="03A8BAAF" w14:textId="77777777" w:rsidR="00852C70" w:rsidRDefault="000A1714">
      <w:pPr>
        <w:widowControl w:val="0"/>
        <w:autoSpaceDE w:val="0"/>
        <w:autoSpaceDN w:val="0"/>
        <w:adjustRightInd w:val="0"/>
        <w:spacing w:after="0" w:line="240" w:lineRule="auto"/>
        <w:ind w:left="101"/>
        <w:jc w:val="both"/>
        <w:rPr>
          <w:rFonts w:ascii="Times New Roman" w:hAnsi="Times New Roman"/>
          <w:sz w:val="24"/>
          <w:szCs w:val="24"/>
        </w:rPr>
      </w:pPr>
      <w:r>
        <w:rPr>
          <w:rFonts w:ascii="Times New Roman" w:hAnsi="Times New Roman"/>
          <w:sz w:val="24"/>
          <w:szCs w:val="24"/>
          <w:lang w:val="id-ID"/>
        </w:rPr>
        <w:tab/>
        <w:t xml:space="preserve">The data collection method used in this research is the questionnaire method. A questionnaire </w:t>
      </w:r>
      <w:r>
        <w:rPr>
          <w:rFonts w:ascii="Times New Roman" w:hAnsi="Times New Roman"/>
          <w:sz w:val="24"/>
          <w:szCs w:val="24"/>
        </w:rPr>
        <w:t xml:space="preserve">is a data collection method where a list or instrument of questions is created by the researcher and then distributed to target respondents. </w:t>
      </w:r>
      <w:r>
        <w:rPr>
          <w:rFonts w:ascii="Times New Roman" w:hAnsi="Times New Roman"/>
          <w:sz w:val="24"/>
          <w:szCs w:val="24"/>
          <w:lang w:val="id-ID"/>
        </w:rPr>
        <w:t xml:space="preserve">This research uses a Likert scale as a tool to measure the relationship between each variable. Likert scale. </w:t>
      </w:r>
      <w:r>
        <w:rPr>
          <w:rFonts w:ascii="Times New Roman" w:hAnsi="Times New Roman"/>
          <w:sz w:val="24"/>
          <w:szCs w:val="24"/>
        </w:rPr>
        <w:t xml:space="preserve">Initially, the Likert scale only consisted of five response points, namely strongly agree, agree, undecided, disagree, and strongly disagree </w:t>
      </w:r>
      <w:r>
        <w:rPr>
          <w:rFonts w:ascii="Times New Roman" w:hAnsi="Times New Roman"/>
          <w:sz w:val="24"/>
          <w:szCs w:val="24"/>
        </w:rPr>
        <w:fldChar w:fldCharType="begin"/>
      </w:r>
      <w:r>
        <w:rPr>
          <w:rFonts w:ascii="Times New Roman" w:hAnsi="Times New Roman"/>
          <w:sz w:val="24"/>
          <w:szCs w:val="24"/>
        </w:rPr>
        <w:instrText>ADDIN CSL_CITATION {"citationItems":[{"id":"ITEM-1","itemData":{"DOI":"10.4135/9781412961288.n454","abstract":"The project conceived in 1929 by Gardner Murphy and the writer aimed first to present a wide array of problems having to do with five major \"attitude areas\"—international relations, race relations, economic conflict, political conflict, and religion. The kind of questionnaire material falls into four classes: yes-no, multiple choice, propositions to be responded to by degrees of approval, and a series of brief newspaper narratives to be approved or disapproved in various degrees. The monograph aims to describe a technique rather than to give results. The appendix, covering ten pages, shows the method of constructing an attitude scale. A bibliography is also given. (PsycINFO Database Record (c) 2012 APA, all rights reserved)","author":[{"dropping-particle":"","family":"likert","given":"","non-dropping-particle":"","parse-names":false,"suffix":""}],"container-title":"Encyclopedia of Research Design","id":"ITEM-1","issued":{"date-parts":[["1932"]]},"title":"“Technique for the Measurement of Attitudes, A”","type":"article-journal"},"uris":["http://www.mendeley.com/documents/?uuid=982be50c-39ed-49b2-a6ea-79a7c47d6c53"]}],"mendeley":{"formattedCitation":"(likert, 1932)","plainTextFormattedCitation":"(likert, 1932)","previouslyFormattedCitation":"(likert, 1932)"},"properties":{"noteIndex":0},"schema":"https://github.com/citation-style-language/schema/raw/master/csl-citation.json"}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(Likert, 1932) </w:t>
      </w:r>
      <w:r>
        <w:rPr>
          <w:rFonts w:ascii="Times New Roman" w:hAnsi="Times New Roman"/>
          <w:sz w:val="24"/>
          <w:szCs w:val="24"/>
        </w:rPr>
        <w:fldChar w:fldCharType="end"/>
      </w:r>
      <w:r>
        <w:rPr>
          <w:rFonts w:ascii="Times New Roman" w:hAnsi="Times New Roman"/>
          <w:sz w:val="24"/>
          <w:szCs w:val="24"/>
        </w:rPr>
        <w:t xml:space="preserve">. As time goes by, the Likert scale measurement continues to develop until it reaches 15 response points. </w:t>
      </w:r>
      <w:r>
        <w:rPr>
          <w:rFonts w:ascii="Times New Roman" w:hAnsi="Times New Roman"/>
          <w:sz w:val="24"/>
          <w:szCs w:val="24"/>
        </w:rPr>
        <w:fldChar w:fldCharType="begin"/>
      </w:r>
      <w:r>
        <w:rPr>
          <w:rFonts w:ascii="Times New Roman" w:hAnsi="Times New Roman"/>
          <w:sz w:val="24"/>
          <w:szCs w:val="24"/>
        </w:rPr>
        <w:instrText>ADDIN CSL_CITATION {"citationItems":[{"id":"ITEM-1","itemData":{"abstract":"ABSRACT The ease of likert scale on its contruction as a measurement scale of individual traits must be cautioned to prevent some errors in the data analysis. Some researchers consider likert scale as an interval scale, while the others mention likert scale as an ordinal scale. After reviewing some papers from some different authors, we argue that a likert scale using total score of all items is an interval scale. On the other hand, items using likert format is an ordinal scale. The number of responses in the likert scale suggested is 7 based on responden's preference that of they like it the most. Moreover, the 7 response format has a good reliability, validity, discriminating power, and test-retest (stability) index. ABSTRAK Kemudahan penyusunan skala likert sebagai alat ukur perilaku individu perlu diperhatikan dengan hati-hati untuk menghindari kesalahan dalam analisis data. Beberapa peneliti menggolongkan skala likert kedalam dua skala yang berbeda yaitu ada yang mengolongkan kedalam skala ordinal dan yang lain menggolongkan kedalam skala interval. Setelah mereview beberapa tulisan dari peneliti yang berbeda, penulis berpendapat bahwa skala likert yang menggunakan skor total dari semua butir pertanyaan adalah skala interval. Dilain pihak, butir pertanyaan yang menggunakan tipe data likert mempunyai skala pengukuran ordinal. Jumlah titik respon yang disarankan penulis adalah 7 berdasarkan atas preferensi responden yang paling responden suka terhadap jumlah respon ini. Disamping itu, jumlah titik respon 7 juga mempunyai reliabilitas, validitas, kekuatan diskriminasi, dan stabilitas yang cukup baik.","author":[{"dropping-particle":"","family":"Budiaji","given":"Weksi","non-dropping-particle":"","parse-names":false,"suffix":""}],"container-title":"Ilmu Pertanian dan Perikanan","id":"ITEM-1","issue":"2","issued":{"date-parts":[["2013"]]},"page":"127-133","title":"Skala Pengukuran dan Jumlah Respon Skala Likert (The Measurement Scale and The Number of Responses in Likert Scale)","type":"article-journal","volume":"2"},"uris":["http://www.mendeley.com/documents/?uuid=635058f0-4388-4228-938a-7c0c19498b6d"]}],"mendeley":{"formattedCitation":"(Budiaji, 2013)","manualFormatting":"Budiaji, (2013)","plainTextFormattedCitation":"(Budiaji, 2013)","previouslyFormattedCitation":"(Budiaji,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Budiaji, (2013) </w:t>
      </w:r>
      <w:r>
        <w:rPr>
          <w:rFonts w:ascii="Times New Roman" w:hAnsi="Times New Roman"/>
          <w:sz w:val="24"/>
          <w:szCs w:val="24"/>
        </w:rPr>
        <w:fldChar w:fldCharType="end"/>
      </w:r>
      <w:r>
        <w:rPr>
          <w:rFonts w:ascii="Times New Roman" w:hAnsi="Times New Roman"/>
          <w:sz w:val="24"/>
          <w:szCs w:val="24"/>
        </w:rPr>
        <w:t xml:space="preserve">stated that the sensitivity and linearity of the number of response points from five to seven response points are the same. Apart from that, </w:t>
      </w:r>
      <w:r>
        <w:rPr>
          <w:rFonts w:ascii="Times New Roman" w:hAnsi="Times New Roman"/>
          <w:sz w:val="24"/>
          <w:szCs w:val="24"/>
        </w:rPr>
        <w:fldChar w:fldCharType="begin"/>
      </w:r>
      <w:r>
        <w:rPr>
          <w:rFonts w:ascii="Times New Roman" w:hAnsi="Times New Roman"/>
          <w:sz w:val="24"/>
          <w:szCs w:val="24"/>
        </w:rPr>
        <w:instrText>ADDIN CSL_CITATION {"citationItems":[{"id":"ITEM-1","itemData":{"abstract":"ABSRACT The ease of likert scale on its contruction as a measurement scale of individual traits must be cautioned to prevent some errors in the data analysis. Some researchers consider likert scale as an interval scale, while the others mention likert scale as an ordinal scale. After reviewing some papers from some different authors, we argue that a likert scale using total score of all items is an interval scale. On the other hand, items using likert format is an ordinal scale. The number of responses in the likert scale suggested is 7 based on responden's preference that of they like it the most. Moreover, the 7 response format has a good reliability, validity, discriminating power, and test-retest (stability) index. ABSTRAK Kemudahan penyusunan skala likert sebagai alat ukur perilaku individu perlu diperhatikan dengan hati-hati untuk menghindari kesalahan dalam analisis data. Beberapa peneliti menggolongkan skala likert kedalam dua skala yang berbeda yaitu ada yang mengolongkan kedalam skala ordinal dan yang lain menggolongkan kedalam skala interval. Setelah mereview beberapa tulisan dari peneliti yang berbeda, penulis berpendapat bahwa skala likert yang menggunakan skor total dari semua butir pertanyaan adalah skala interval. Dilain pihak, butir pertanyaan yang menggunakan tipe data likert mempunyai skala pengukuran ordinal. Jumlah titik respon yang disarankan penulis adalah 7 berdasarkan atas preferensi responden yang paling responden suka terhadap jumlah respon ini. Disamping itu, jumlah titik respon 7 juga mempunyai reliabilitas, validitas, kekuatan diskriminasi, dan stabilitas yang cukup baik.","author":[{"dropping-particle":"","family":"Budiaji","given":"Weksi","non-dropping-particle":"","parse-names":false,"suffix":""}],"container-title":"Ilmu Pertanian dan Perikanan","id":"ITEM-1","issue":"2","issued":{"date-parts":[["2013"]]},"page":"127-133","title":"Skala Pengukuran dan Jumlah Respon Skala Likert (The Measurement Scale and The Number of Responses in Likert Scale)","type":"article-journal","volume":"2"},"uris":["http://www.mendeley.com/documents/?uuid=635058f0-4388-4228-938a-7c0c19498b6d"]}],"mendeley":{"formattedCitation":"(Budiaji, 2013)","manualFormatting":"Budiaji, (2013)","plainTextFormattedCitation":"(Budiaji, 2013)","previouslyFormattedCitation":"(Budiaji,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Budiaji, (2013) </w:t>
      </w:r>
      <w:r>
        <w:rPr>
          <w:rFonts w:ascii="Times New Roman" w:hAnsi="Times New Roman"/>
          <w:sz w:val="24"/>
          <w:szCs w:val="24"/>
        </w:rPr>
        <w:fldChar w:fldCharType="end"/>
      </w:r>
      <w:r>
        <w:rPr>
          <w:rFonts w:ascii="Times New Roman" w:hAnsi="Times New Roman"/>
          <w:sz w:val="24"/>
          <w:szCs w:val="24"/>
        </w:rPr>
        <w:t xml:space="preserve">added that the stability of the response points increases at response points 7,8,9,10. However, Hofmans et al. (2007) suggested using seven response </w:t>
      </w:r>
      <w:r>
        <w:rPr>
          <w:rFonts w:ascii="Times New Roman" w:hAnsi="Times New Roman"/>
          <w:sz w:val="24"/>
          <w:szCs w:val="24"/>
        </w:rPr>
        <w:lastRenderedPageBreak/>
        <w:t>points because seven response points are preferred by respondents.</w:t>
      </w:r>
    </w:p>
    <w:p w14:paraId="7B0E6E90" w14:textId="77777777" w:rsidR="00852C70" w:rsidRDefault="000A1714">
      <w:pPr>
        <w:widowControl w:val="0"/>
        <w:autoSpaceDE w:val="0"/>
        <w:autoSpaceDN w:val="0"/>
        <w:adjustRightInd w:val="0"/>
        <w:spacing w:after="0" w:line="240" w:lineRule="auto"/>
        <w:ind w:left="101" w:firstLine="619"/>
        <w:jc w:val="both"/>
        <w:rPr>
          <w:rFonts w:ascii="Times New Roman" w:hAnsi="Times New Roman"/>
          <w:sz w:val="24"/>
          <w:szCs w:val="24"/>
          <w:lang w:val="id-ID"/>
        </w:rPr>
      </w:pPr>
      <w:r>
        <w:rPr>
          <w:rFonts w:ascii="Times New Roman" w:hAnsi="Times New Roman"/>
          <w:sz w:val="24"/>
          <w:szCs w:val="24"/>
          <w:lang w:val="id-ID"/>
        </w:rPr>
        <w:t xml:space="preserve">In accordance with the research instrument from Mohd Fuzi et al., (2019) </w:t>
      </w:r>
      <w:r>
        <w:rPr>
          <w:rFonts w:ascii="Times New Roman" w:hAnsi="Times New Roman"/>
          <w:sz w:val="24"/>
          <w:szCs w:val="24"/>
        </w:rPr>
        <w:t xml:space="preserve">which has been mentioned in table 1, table 2, and table 3 </w:t>
      </w:r>
      <w:r>
        <w:rPr>
          <w:rFonts w:ascii="Times New Roman" w:hAnsi="Times New Roman"/>
          <w:sz w:val="24"/>
          <w:szCs w:val="24"/>
          <w:lang w:val="id-ID"/>
        </w:rPr>
        <w:t xml:space="preserve">, the analysis of the three variables, namely environmental management accounting practices, information systems, and company performance uses a Likert scale with seven points. response to obtain </w:t>
      </w:r>
      <w:r>
        <w:rPr>
          <w:rFonts w:ascii="Times New Roman" w:hAnsi="Times New Roman"/>
          <w:sz w:val="24"/>
          <w:szCs w:val="24"/>
        </w:rPr>
        <w:t xml:space="preserve">research data </w:t>
      </w:r>
      <w:r>
        <w:rPr>
          <w:rFonts w:ascii="Times New Roman" w:hAnsi="Times New Roman"/>
          <w:sz w:val="24"/>
          <w:szCs w:val="24"/>
          <w:lang w:val="id-ID"/>
        </w:rPr>
        <w:t xml:space="preserve">from respondents. For the variable environmental management accounting practices and information systems, the details are point (1) which is "very low" to point (7) which is "very high". </w:t>
      </w:r>
      <w:r>
        <w:rPr>
          <w:rFonts w:ascii="Times New Roman" w:hAnsi="Times New Roman"/>
          <w:sz w:val="24"/>
          <w:szCs w:val="24"/>
        </w:rPr>
        <w:t xml:space="preserve">Meanwhile, </w:t>
      </w:r>
      <w:r>
        <w:rPr>
          <w:rFonts w:ascii="Times New Roman" w:hAnsi="Times New Roman"/>
          <w:sz w:val="24"/>
          <w:szCs w:val="24"/>
          <w:lang w:val="id-ID"/>
        </w:rPr>
        <w:t>the company performance variable has details, namely point (1) "strongly disagree", point (2) "disagree", point (3) "somewhat disagree", point (4) "neutral", point (5) " somewhat agree”, point (6) “agree”, and point (7) “strongly agree”.</w:t>
      </w:r>
    </w:p>
    <w:p w14:paraId="73B483D8" w14:textId="77777777" w:rsidR="00852C70" w:rsidRDefault="00852C70">
      <w:pPr>
        <w:widowControl w:val="0"/>
        <w:autoSpaceDE w:val="0"/>
        <w:autoSpaceDN w:val="0"/>
        <w:adjustRightInd w:val="0"/>
        <w:spacing w:after="0" w:line="240" w:lineRule="auto"/>
        <w:ind w:left="101" w:firstLine="619"/>
        <w:jc w:val="both"/>
        <w:rPr>
          <w:rFonts w:ascii="Times New Roman" w:hAnsi="Times New Roman"/>
          <w:sz w:val="24"/>
          <w:szCs w:val="24"/>
        </w:rPr>
      </w:pPr>
    </w:p>
    <w:p w14:paraId="6F32E748" w14:textId="77777777" w:rsidR="00852C70" w:rsidRDefault="000A1714">
      <w:pPr>
        <w:widowControl w:val="0"/>
        <w:autoSpaceDE w:val="0"/>
        <w:autoSpaceDN w:val="0"/>
        <w:adjustRightInd w:val="0"/>
        <w:spacing w:after="0" w:line="240" w:lineRule="auto"/>
        <w:ind w:left="101"/>
        <w:jc w:val="both"/>
        <w:rPr>
          <w:rFonts w:ascii="Times New Roman" w:hAnsi="Times New Roman"/>
          <w:b/>
          <w:sz w:val="24"/>
          <w:szCs w:val="24"/>
          <w:lang w:val="id-ID"/>
        </w:rPr>
      </w:pPr>
      <w:r>
        <w:rPr>
          <w:rFonts w:ascii="Times New Roman" w:hAnsi="Times New Roman"/>
          <w:b/>
          <w:sz w:val="24"/>
          <w:szCs w:val="24"/>
          <w:lang w:val="id-ID"/>
        </w:rPr>
        <w:t>3.5 Population and Sample</w:t>
      </w:r>
    </w:p>
    <w:p w14:paraId="0EDFB211" w14:textId="77777777" w:rsidR="00852C70" w:rsidRDefault="000A1714">
      <w:pPr>
        <w:spacing w:after="0" w:line="240" w:lineRule="auto"/>
        <w:ind w:firstLine="720"/>
        <w:jc w:val="both"/>
        <w:rPr>
          <w:rFonts w:ascii="Times New Roman" w:hAnsi="Times New Roman"/>
          <w:sz w:val="24"/>
          <w:szCs w:val="24"/>
        </w:rPr>
      </w:pPr>
      <w:r>
        <w:rPr>
          <w:rFonts w:ascii="Times New Roman" w:hAnsi="Times New Roman"/>
          <w:sz w:val="24"/>
          <w:szCs w:val="24"/>
        </w:rPr>
        <w:t xml:space="preserve">Population </w:t>
      </w:r>
      <w:r>
        <w:rPr>
          <w:rFonts w:ascii="Times New Roman" w:hAnsi="Times New Roman"/>
          <w:sz w:val="24"/>
          <w:szCs w:val="24"/>
          <w:lang w:val="id-ID"/>
        </w:rPr>
        <w:t xml:space="preserve">is an area consisting of subjects or objects that have conditions and characteristics determined by researchers to produce a conclusion. </w:t>
      </w:r>
      <w:r>
        <w:rPr>
          <w:rFonts w:ascii="Times New Roman" w:hAnsi="Times New Roman"/>
          <w:sz w:val="24"/>
          <w:szCs w:val="24"/>
        </w:rPr>
        <w:t xml:space="preserve">A survey conducted by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{"citationItems":[{"id":"ITEM-1","itemData":{"author":[{"dropping-particle":"","family":"Badan Pusat Statistik Provinsi Jawa Tengah","given":"","non-dropping-particle":"","parse-names":false,"suffix":""}],"id":"ITEM-1","issued":{"date-parts":[["2020"]]},"title":"DIREKTORI INDUSTRI MANUFAKTUR BESAR DAN SEDANG PROVINSI JAWA TENGAH 2020","type":"article-journal"},"uris":["http://www.mendeley.com/documents/?uuid=a94edf93-3cc1-452c-a3a1-55a2c69304b5"]}],"mendeley":{"formattedCitation":"(Badan Pusat Statistik Provinsi Jawa Tengah, 2020)","manualFormatting":"Badan Pusat Statistik Provinsi Jawa Tengah","plainTextFormattedCitation":"(Badan Pusat Statistik Provinsi Jawa Tengah, 2020)","previouslyFormattedCitation":"(Badan Pusat Statistik Provinsi Jawa Tengah,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the Central Java Province Central Statistics Agency </w:t>
      </w:r>
      <w:r>
        <w:rPr>
          <w:rFonts w:ascii="Times New Roman" w:hAnsi="Times New Roman"/>
          <w:sz w:val="24"/>
          <w:szCs w:val="24"/>
        </w:rPr>
        <w:fldChar w:fldCharType="end"/>
      </w:r>
      <w:r>
        <w:rPr>
          <w:rFonts w:ascii="Times New Roman" w:hAnsi="Times New Roman"/>
          <w:sz w:val="24"/>
          <w:szCs w:val="24"/>
        </w:rPr>
        <w:t xml:space="preserve">noted that in 2020 there were 501 medium and large scale manufacturing companies in the city of Semarang. Therefore, the </w:t>
      </w:r>
      <w:r>
        <w:rPr>
          <w:rFonts w:ascii="Times New Roman" w:hAnsi="Times New Roman"/>
          <w:sz w:val="24"/>
          <w:szCs w:val="24"/>
          <w:lang w:val="id-ID"/>
        </w:rPr>
        <w:t xml:space="preserve">population determined in this research is </w:t>
      </w:r>
      <w:r>
        <w:rPr>
          <w:rFonts w:ascii="Times New Roman" w:hAnsi="Times New Roman"/>
          <w:sz w:val="24"/>
          <w:szCs w:val="24"/>
        </w:rPr>
        <w:t xml:space="preserve">501 manufacturing companies in </w:t>
      </w:r>
      <w:r>
        <w:rPr>
          <w:rFonts w:ascii="Times New Roman" w:hAnsi="Times New Roman"/>
          <w:sz w:val="24"/>
          <w:szCs w:val="24"/>
          <w:lang w:val="id-ID"/>
        </w:rPr>
        <w:t xml:space="preserve">Semarang City. </w:t>
      </w:r>
      <w:r>
        <w:rPr>
          <w:rFonts w:ascii="Times New Roman" w:hAnsi="Times New Roman"/>
          <w:sz w:val="24"/>
          <w:szCs w:val="24"/>
        </w:rPr>
        <w:t>There are 24 business field categories grouped by BPS Central Java Province. The various business categories of manufacturing companies are written in table 3.4.</w:t>
      </w:r>
    </w:p>
    <w:p w14:paraId="36BEE1DC" w14:textId="77777777" w:rsidR="00852C70" w:rsidRDefault="00852C70">
      <w:pPr>
        <w:spacing w:after="0" w:line="240" w:lineRule="auto"/>
        <w:ind w:firstLine="720"/>
        <w:jc w:val="center"/>
        <w:rPr>
          <w:rFonts w:ascii="Times New Roman" w:hAnsi="Times New Roman"/>
          <w:sz w:val="24"/>
          <w:szCs w:val="24"/>
        </w:rPr>
      </w:pPr>
    </w:p>
    <w:p w14:paraId="53EB8ACA" w14:textId="77777777" w:rsidR="00852C70" w:rsidRDefault="000A1714">
      <w:pPr>
        <w:spacing w:after="0" w:line="240" w:lineRule="auto"/>
        <w:ind w:firstLine="720"/>
        <w:jc w:val="center"/>
        <w:rPr>
          <w:rFonts w:ascii="Times New Roman" w:hAnsi="Times New Roman"/>
          <w:sz w:val="24"/>
          <w:szCs w:val="24"/>
        </w:rPr>
      </w:pPr>
      <w:r>
        <w:rPr>
          <w:rFonts w:ascii="Times New Roman" w:hAnsi="Times New Roman"/>
          <w:sz w:val="24"/>
          <w:szCs w:val="24"/>
        </w:rPr>
        <w:t>Table 3.4. Manufacturing Company Business Field Category</w:t>
      </w:r>
    </w:p>
    <w:tbl>
      <w:tblPr>
        <w:tblW w:w="9072" w:type="dxa"/>
        <w:tblInd w:w="250" w:type="dxa"/>
        <w:tblLook w:val="04A0" w:firstRow="1" w:lastRow="0" w:firstColumn="1" w:lastColumn="0" w:noHBand="0" w:noVBand="1"/>
      </w:tblPr>
      <w:tblGrid>
        <w:gridCol w:w="510"/>
        <w:gridCol w:w="3987"/>
        <w:gridCol w:w="510"/>
        <w:gridCol w:w="4065"/>
      </w:tblGrid>
      <w:tr w:rsidR="00852C70" w14:paraId="19A4797E" w14:textId="77777777">
        <w:trPr>
          <w:trHeight w:val="390"/>
        </w:trPr>
        <w:tc>
          <w:tcPr>
            <w:tcW w:w="51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E38475F" w14:textId="77777777" w:rsidR="00852C70" w:rsidRDefault="000A1714">
            <w:pPr>
              <w:spacing w:after="0" w:line="240" w:lineRule="auto"/>
              <w:rPr>
                <w:rFonts w:ascii="Times New Roman" w:hAnsi="Times New Roman"/>
                <w:color w:val="000000"/>
                <w:sz w:val="24"/>
                <w:szCs w:val="24"/>
              </w:rPr>
            </w:pPr>
            <w:r>
              <w:rPr>
                <w:rFonts w:ascii="Times New Roman" w:hAnsi="Times New Roman"/>
                <w:color w:val="000000"/>
                <w:sz w:val="24"/>
                <w:szCs w:val="24"/>
              </w:rPr>
              <w:t>No</w:t>
            </w:r>
          </w:p>
        </w:tc>
        <w:tc>
          <w:tcPr>
            <w:tcW w:w="4026" w:type="dxa"/>
            <w:tcBorders>
              <w:top w:val="single" w:sz="4" w:space="0" w:color="auto"/>
              <w:left w:val="nil"/>
              <w:bottom w:val="single" w:sz="4" w:space="0" w:color="auto"/>
              <w:right w:val="single" w:sz="4" w:space="0" w:color="auto"/>
            </w:tcBorders>
            <w:shd w:val="clear" w:color="000000" w:fill="BFBFBF"/>
            <w:vAlign w:val="center"/>
            <w:hideMark/>
          </w:tcPr>
          <w:p w14:paraId="2016AEC7"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Business Field Category</w:t>
            </w:r>
          </w:p>
        </w:tc>
        <w:tc>
          <w:tcPr>
            <w:tcW w:w="425" w:type="dxa"/>
            <w:tcBorders>
              <w:top w:val="single" w:sz="4" w:space="0" w:color="auto"/>
              <w:left w:val="nil"/>
              <w:bottom w:val="single" w:sz="4" w:space="0" w:color="auto"/>
              <w:right w:val="single" w:sz="4" w:space="0" w:color="auto"/>
            </w:tcBorders>
            <w:shd w:val="clear" w:color="000000" w:fill="BFBFBF"/>
            <w:noWrap/>
            <w:vAlign w:val="bottom"/>
            <w:hideMark/>
          </w:tcPr>
          <w:p w14:paraId="213BC2AA" w14:textId="77777777" w:rsidR="00852C70" w:rsidRDefault="000A1714">
            <w:pPr>
              <w:spacing w:after="0" w:line="240" w:lineRule="auto"/>
              <w:rPr>
                <w:rFonts w:ascii="Times New Roman" w:hAnsi="Times New Roman"/>
                <w:color w:val="000000"/>
                <w:sz w:val="24"/>
                <w:szCs w:val="24"/>
              </w:rPr>
            </w:pPr>
            <w:r>
              <w:rPr>
                <w:rFonts w:ascii="Times New Roman" w:hAnsi="Times New Roman"/>
                <w:color w:val="000000"/>
                <w:sz w:val="24"/>
                <w:szCs w:val="24"/>
              </w:rPr>
              <w:t>No</w:t>
            </w:r>
          </w:p>
        </w:tc>
        <w:tc>
          <w:tcPr>
            <w:tcW w:w="4111" w:type="dxa"/>
            <w:tcBorders>
              <w:top w:val="single" w:sz="4" w:space="0" w:color="auto"/>
              <w:left w:val="nil"/>
              <w:bottom w:val="single" w:sz="4" w:space="0" w:color="auto"/>
              <w:right w:val="single" w:sz="4" w:space="0" w:color="auto"/>
            </w:tcBorders>
            <w:shd w:val="clear" w:color="000000" w:fill="BFBFBF"/>
            <w:vAlign w:val="center"/>
            <w:hideMark/>
          </w:tcPr>
          <w:p w14:paraId="0CA7BA58"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Business Field Category</w:t>
            </w:r>
          </w:p>
        </w:tc>
      </w:tr>
      <w:tr w:rsidR="00852C70" w14:paraId="6BF0443B" w14:textId="77777777">
        <w:trPr>
          <w:trHeight w:val="31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55D5A11A"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p>
        </w:tc>
        <w:tc>
          <w:tcPr>
            <w:tcW w:w="4026" w:type="dxa"/>
            <w:tcBorders>
              <w:top w:val="nil"/>
              <w:left w:val="nil"/>
              <w:bottom w:val="single" w:sz="4" w:space="0" w:color="auto"/>
              <w:right w:val="single" w:sz="4" w:space="0" w:color="auto"/>
            </w:tcBorders>
            <w:shd w:val="clear" w:color="auto" w:fill="auto"/>
            <w:vAlign w:val="center"/>
            <w:hideMark/>
          </w:tcPr>
          <w:p w14:paraId="7F924379"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Food</w:t>
            </w:r>
          </w:p>
        </w:tc>
        <w:tc>
          <w:tcPr>
            <w:tcW w:w="425" w:type="dxa"/>
            <w:tcBorders>
              <w:top w:val="nil"/>
              <w:left w:val="nil"/>
              <w:bottom w:val="single" w:sz="4" w:space="0" w:color="auto"/>
              <w:right w:val="single" w:sz="4" w:space="0" w:color="auto"/>
            </w:tcBorders>
            <w:shd w:val="clear" w:color="000000" w:fill="BFBFBF"/>
            <w:noWrap/>
            <w:vAlign w:val="bottom"/>
            <w:hideMark/>
          </w:tcPr>
          <w:p w14:paraId="293381C7"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13</w:t>
            </w:r>
          </w:p>
        </w:tc>
        <w:tc>
          <w:tcPr>
            <w:tcW w:w="4111" w:type="dxa"/>
            <w:tcBorders>
              <w:top w:val="nil"/>
              <w:left w:val="nil"/>
              <w:bottom w:val="single" w:sz="4" w:space="0" w:color="auto"/>
              <w:right w:val="single" w:sz="4" w:space="0" w:color="auto"/>
            </w:tcBorders>
            <w:shd w:val="clear" w:color="auto" w:fill="auto"/>
            <w:vAlign w:val="center"/>
            <w:hideMark/>
          </w:tcPr>
          <w:p w14:paraId="38067CD8"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Rubber, goods made of rubber and plastic</w:t>
            </w:r>
          </w:p>
        </w:tc>
      </w:tr>
      <w:tr w:rsidR="00852C70" w14:paraId="62D3AD54" w14:textId="77777777">
        <w:trPr>
          <w:trHeight w:val="31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7B767C7F"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p>
        </w:tc>
        <w:tc>
          <w:tcPr>
            <w:tcW w:w="4026" w:type="dxa"/>
            <w:tcBorders>
              <w:top w:val="nil"/>
              <w:left w:val="nil"/>
              <w:bottom w:val="single" w:sz="4" w:space="0" w:color="auto"/>
              <w:right w:val="single" w:sz="4" w:space="0" w:color="auto"/>
            </w:tcBorders>
            <w:shd w:val="clear" w:color="auto" w:fill="auto"/>
            <w:vAlign w:val="center"/>
            <w:hideMark/>
          </w:tcPr>
          <w:p w14:paraId="0B931817"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Drink</w:t>
            </w:r>
          </w:p>
        </w:tc>
        <w:tc>
          <w:tcPr>
            <w:tcW w:w="425" w:type="dxa"/>
            <w:tcBorders>
              <w:top w:val="nil"/>
              <w:left w:val="nil"/>
              <w:bottom w:val="single" w:sz="4" w:space="0" w:color="auto"/>
              <w:right w:val="single" w:sz="4" w:space="0" w:color="auto"/>
            </w:tcBorders>
            <w:shd w:val="clear" w:color="000000" w:fill="BFBFBF"/>
            <w:noWrap/>
            <w:vAlign w:val="bottom"/>
            <w:hideMark/>
          </w:tcPr>
          <w:p w14:paraId="250FD8E3"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14</w:t>
            </w:r>
          </w:p>
        </w:tc>
        <w:tc>
          <w:tcPr>
            <w:tcW w:w="4111" w:type="dxa"/>
            <w:tcBorders>
              <w:top w:val="nil"/>
              <w:left w:val="nil"/>
              <w:bottom w:val="single" w:sz="4" w:space="0" w:color="auto"/>
              <w:right w:val="single" w:sz="4" w:space="0" w:color="auto"/>
            </w:tcBorders>
            <w:shd w:val="clear" w:color="auto" w:fill="auto"/>
            <w:vAlign w:val="center"/>
            <w:hideMark/>
          </w:tcPr>
          <w:p w14:paraId="6C004E95"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Non-metallic minerals</w:t>
            </w:r>
          </w:p>
        </w:tc>
      </w:tr>
      <w:tr w:rsidR="00852C70" w14:paraId="5A553141" w14:textId="77777777">
        <w:trPr>
          <w:trHeight w:val="31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6DAD4B73"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3</w:t>
            </w:r>
          </w:p>
        </w:tc>
        <w:tc>
          <w:tcPr>
            <w:tcW w:w="4026" w:type="dxa"/>
            <w:tcBorders>
              <w:top w:val="nil"/>
              <w:left w:val="nil"/>
              <w:bottom w:val="single" w:sz="4" w:space="0" w:color="auto"/>
              <w:right w:val="single" w:sz="4" w:space="0" w:color="auto"/>
            </w:tcBorders>
            <w:shd w:val="clear" w:color="auto" w:fill="auto"/>
            <w:vAlign w:val="center"/>
            <w:hideMark/>
          </w:tcPr>
          <w:p w14:paraId="2C34761C"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Tobacco processing</w:t>
            </w:r>
          </w:p>
        </w:tc>
        <w:tc>
          <w:tcPr>
            <w:tcW w:w="425" w:type="dxa"/>
            <w:tcBorders>
              <w:top w:val="nil"/>
              <w:left w:val="nil"/>
              <w:bottom w:val="single" w:sz="4" w:space="0" w:color="auto"/>
              <w:right w:val="single" w:sz="4" w:space="0" w:color="auto"/>
            </w:tcBorders>
            <w:shd w:val="clear" w:color="000000" w:fill="BFBFBF"/>
            <w:noWrap/>
            <w:vAlign w:val="bottom"/>
            <w:hideMark/>
          </w:tcPr>
          <w:p w14:paraId="73A3E969"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w:t>
            </w:r>
          </w:p>
        </w:tc>
        <w:tc>
          <w:tcPr>
            <w:tcW w:w="4111" w:type="dxa"/>
            <w:tcBorders>
              <w:top w:val="nil"/>
              <w:left w:val="nil"/>
              <w:bottom w:val="single" w:sz="4" w:space="0" w:color="auto"/>
              <w:right w:val="single" w:sz="4" w:space="0" w:color="auto"/>
            </w:tcBorders>
            <w:shd w:val="clear" w:color="auto" w:fill="auto"/>
            <w:vAlign w:val="center"/>
            <w:hideMark/>
          </w:tcPr>
          <w:p w14:paraId="723E47CB"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Base metal</w:t>
            </w:r>
          </w:p>
        </w:tc>
      </w:tr>
      <w:tr w:rsidR="00852C70" w14:paraId="27094273" w14:textId="77777777">
        <w:trPr>
          <w:trHeight w:val="630"/>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114F63DB"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4</w:t>
            </w:r>
          </w:p>
        </w:tc>
        <w:tc>
          <w:tcPr>
            <w:tcW w:w="4026" w:type="dxa"/>
            <w:tcBorders>
              <w:top w:val="nil"/>
              <w:left w:val="nil"/>
              <w:bottom w:val="single" w:sz="4" w:space="0" w:color="auto"/>
              <w:right w:val="single" w:sz="4" w:space="0" w:color="auto"/>
            </w:tcBorders>
            <w:shd w:val="clear" w:color="auto" w:fill="auto"/>
            <w:vAlign w:val="center"/>
            <w:hideMark/>
          </w:tcPr>
          <w:p w14:paraId="2DB688D9"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Textiles</w:t>
            </w:r>
          </w:p>
        </w:tc>
        <w:tc>
          <w:tcPr>
            <w:tcW w:w="425" w:type="dxa"/>
            <w:tcBorders>
              <w:top w:val="nil"/>
              <w:left w:val="nil"/>
              <w:bottom w:val="single" w:sz="4" w:space="0" w:color="auto"/>
              <w:right w:val="single" w:sz="4" w:space="0" w:color="auto"/>
            </w:tcBorders>
            <w:shd w:val="clear" w:color="000000" w:fill="BFBFBF"/>
            <w:noWrap/>
            <w:vAlign w:val="bottom"/>
            <w:hideMark/>
          </w:tcPr>
          <w:p w14:paraId="4EACC0D3"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16</w:t>
            </w:r>
          </w:p>
        </w:tc>
        <w:tc>
          <w:tcPr>
            <w:tcW w:w="4111" w:type="dxa"/>
            <w:tcBorders>
              <w:top w:val="nil"/>
              <w:left w:val="nil"/>
              <w:bottom w:val="single" w:sz="4" w:space="0" w:color="auto"/>
              <w:right w:val="single" w:sz="4" w:space="0" w:color="auto"/>
            </w:tcBorders>
            <w:shd w:val="clear" w:color="auto" w:fill="auto"/>
            <w:vAlign w:val="center"/>
            <w:hideMark/>
          </w:tcPr>
          <w:p w14:paraId="546E503E"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Metal items, not machines and equipment</w:t>
            </w:r>
          </w:p>
        </w:tc>
      </w:tr>
      <w:tr w:rsidR="00852C70" w14:paraId="22A4DD84" w14:textId="77777777">
        <w:trPr>
          <w:trHeight w:val="31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29470D25"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5</w:t>
            </w:r>
          </w:p>
        </w:tc>
        <w:tc>
          <w:tcPr>
            <w:tcW w:w="4026" w:type="dxa"/>
            <w:tcBorders>
              <w:top w:val="nil"/>
              <w:left w:val="nil"/>
              <w:bottom w:val="single" w:sz="4" w:space="0" w:color="auto"/>
              <w:right w:val="single" w:sz="4" w:space="0" w:color="auto"/>
            </w:tcBorders>
            <w:shd w:val="clear" w:color="auto" w:fill="auto"/>
            <w:vAlign w:val="center"/>
            <w:hideMark/>
          </w:tcPr>
          <w:p w14:paraId="25D01657"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Apparel</w:t>
            </w:r>
          </w:p>
        </w:tc>
        <w:tc>
          <w:tcPr>
            <w:tcW w:w="425" w:type="dxa"/>
            <w:tcBorders>
              <w:top w:val="nil"/>
              <w:left w:val="nil"/>
              <w:bottom w:val="single" w:sz="4" w:space="0" w:color="auto"/>
              <w:right w:val="single" w:sz="4" w:space="0" w:color="auto"/>
            </w:tcBorders>
            <w:shd w:val="clear" w:color="000000" w:fill="BFBFBF"/>
            <w:noWrap/>
            <w:vAlign w:val="bottom"/>
            <w:hideMark/>
          </w:tcPr>
          <w:p w14:paraId="3AF5CF8A"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w:t>
            </w:r>
          </w:p>
        </w:tc>
        <w:tc>
          <w:tcPr>
            <w:tcW w:w="4111" w:type="dxa"/>
            <w:tcBorders>
              <w:top w:val="nil"/>
              <w:left w:val="nil"/>
              <w:bottom w:val="single" w:sz="4" w:space="0" w:color="auto"/>
              <w:right w:val="single" w:sz="4" w:space="0" w:color="auto"/>
            </w:tcBorders>
            <w:shd w:val="clear" w:color="auto" w:fill="auto"/>
            <w:vAlign w:val="center"/>
            <w:hideMark/>
          </w:tcPr>
          <w:p w14:paraId="0327A300"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Computers, electronics and optics</w:t>
            </w:r>
          </w:p>
        </w:tc>
      </w:tr>
      <w:tr w:rsidR="00852C70" w14:paraId="6C8F9762" w14:textId="77777777">
        <w:trPr>
          <w:trHeight w:val="31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29D2D25F"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6</w:t>
            </w:r>
          </w:p>
        </w:tc>
        <w:tc>
          <w:tcPr>
            <w:tcW w:w="4026" w:type="dxa"/>
            <w:tcBorders>
              <w:top w:val="nil"/>
              <w:left w:val="nil"/>
              <w:bottom w:val="single" w:sz="4" w:space="0" w:color="auto"/>
              <w:right w:val="single" w:sz="4" w:space="0" w:color="auto"/>
            </w:tcBorders>
            <w:shd w:val="clear" w:color="auto" w:fill="auto"/>
            <w:vAlign w:val="center"/>
            <w:hideMark/>
          </w:tcPr>
          <w:p w14:paraId="17DD4095"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Leather, leather goods and footwear</w:t>
            </w:r>
          </w:p>
        </w:tc>
        <w:tc>
          <w:tcPr>
            <w:tcW w:w="425" w:type="dxa"/>
            <w:tcBorders>
              <w:top w:val="nil"/>
              <w:left w:val="nil"/>
              <w:bottom w:val="single" w:sz="4" w:space="0" w:color="auto"/>
              <w:right w:val="single" w:sz="4" w:space="0" w:color="auto"/>
            </w:tcBorders>
            <w:shd w:val="clear" w:color="000000" w:fill="BFBFBF"/>
            <w:noWrap/>
            <w:vAlign w:val="bottom"/>
            <w:hideMark/>
          </w:tcPr>
          <w:p w14:paraId="1E036534"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w:t>
            </w:r>
          </w:p>
        </w:tc>
        <w:tc>
          <w:tcPr>
            <w:tcW w:w="4111" w:type="dxa"/>
            <w:tcBorders>
              <w:top w:val="nil"/>
              <w:left w:val="nil"/>
              <w:bottom w:val="single" w:sz="4" w:space="0" w:color="auto"/>
              <w:right w:val="single" w:sz="4" w:space="0" w:color="auto"/>
            </w:tcBorders>
            <w:shd w:val="clear" w:color="auto" w:fill="auto"/>
            <w:vAlign w:val="center"/>
            <w:hideMark/>
          </w:tcPr>
          <w:p w14:paraId="034E43E7"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Electrical equipment</w:t>
            </w:r>
          </w:p>
        </w:tc>
      </w:tr>
      <w:tr w:rsidR="00852C70" w14:paraId="3981E0FF" w14:textId="77777777">
        <w:trPr>
          <w:trHeight w:val="31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5BAF79B9"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7</w:t>
            </w:r>
          </w:p>
        </w:tc>
        <w:tc>
          <w:tcPr>
            <w:tcW w:w="4026" w:type="dxa"/>
            <w:tcBorders>
              <w:top w:val="nil"/>
              <w:left w:val="nil"/>
              <w:bottom w:val="single" w:sz="4" w:space="0" w:color="auto"/>
              <w:right w:val="single" w:sz="4" w:space="0" w:color="auto"/>
            </w:tcBorders>
            <w:shd w:val="clear" w:color="auto" w:fill="auto"/>
            <w:vAlign w:val="center"/>
            <w:hideMark/>
          </w:tcPr>
          <w:p w14:paraId="75DD86FE"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Wood</w:t>
            </w:r>
          </w:p>
        </w:tc>
        <w:tc>
          <w:tcPr>
            <w:tcW w:w="425" w:type="dxa"/>
            <w:tcBorders>
              <w:top w:val="nil"/>
              <w:left w:val="nil"/>
              <w:bottom w:val="single" w:sz="4" w:space="0" w:color="auto"/>
              <w:right w:val="single" w:sz="4" w:space="0" w:color="auto"/>
            </w:tcBorders>
            <w:shd w:val="clear" w:color="000000" w:fill="BFBFBF"/>
            <w:noWrap/>
            <w:vAlign w:val="bottom"/>
            <w:hideMark/>
          </w:tcPr>
          <w:p w14:paraId="4E90C7D7"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19</w:t>
            </w:r>
          </w:p>
        </w:tc>
        <w:tc>
          <w:tcPr>
            <w:tcW w:w="4111" w:type="dxa"/>
            <w:tcBorders>
              <w:top w:val="nil"/>
              <w:left w:val="nil"/>
              <w:bottom w:val="single" w:sz="4" w:space="0" w:color="auto"/>
              <w:right w:val="single" w:sz="4" w:space="0" w:color="auto"/>
            </w:tcBorders>
            <w:shd w:val="clear" w:color="auto" w:fill="auto"/>
            <w:vAlign w:val="center"/>
            <w:hideMark/>
          </w:tcPr>
          <w:p w14:paraId="234F6FD4"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Machinery and equipment</w:t>
            </w:r>
          </w:p>
        </w:tc>
      </w:tr>
      <w:tr w:rsidR="00852C70" w14:paraId="643EE2CD" w14:textId="77777777">
        <w:trPr>
          <w:trHeight w:val="630"/>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46A16D54"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w:t>
            </w:r>
          </w:p>
        </w:tc>
        <w:tc>
          <w:tcPr>
            <w:tcW w:w="4026" w:type="dxa"/>
            <w:tcBorders>
              <w:top w:val="nil"/>
              <w:left w:val="nil"/>
              <w:bottom w:val="single" w:sz="4" w:space="0" w:color="auto"/>
              <w:right w:val="single" w:sz="4" w:space="0" w:color="auto"/>
            </w:tcBorders>
            <w:shd w:val="clear" w:color="auto" w:fill="auto"/>
            <w:vAlign w:val="center"/>
            <w:hideMark/>
          </w:tcPr>
          <w:p w14:paraId="39EC0F6D"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Paper and paper goods</w:t>
            </w:r>
          </w:p>
        </w:tc>
        <w:tc>
          <w:tcPr>
            <w:tcW w:w="425" w:type="dxa"/>
            <w:tcBorders>
              <w:top w:val="nil"/>
              <w:left w:val="nil"/>
              <w:bottom w:val="single" w:sz="4" w:space="0" w:color="auto"/>
              <w:right w:val="single" w:sz="4" w:space="0" w:color="auto"/>
            </w:tcBorders>
            <w:shd w:val="clear" w:color="000000" w:fill="BFBFBF"/>
            <w:noWrap/>
            <w:vAlign w:val="bottom"/>
            <w:hideMark/>
          </w:tcPr>
          <w:p w14:paraId="30188F42"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w:t>
            </w:r>
          </w:p>
        </w:tc>
        <w:tc>
          <w:tcPr>
            <w:tcW w:w="4111" w:type="dxa"/>
            <w:tcBorders>
              <w:top w:val="nil"/>
              <w:left w:val="nil"/>
              <w:bottom w:val="single" w:sz="4" w:space="0" w:color="auto"/>
              <w:right w:val="single" w:sz="4" w:space="0" w:color="auto"/>
            </w:tcBorders>
            <w:shd w:val="clear" w:color="auto" w:fill="auto"/>
            <w:vAlign w:val="center"/>
            <w:hideMark/>
          </w:tcPr>
          <w:p w14:paraId="393C9578"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Motor vehicles, trailers and semi-trailers</w:t>
            </w:r>
          </w:p>
        </w:tc>
      </w:tr>
      <w:tr w:rsidR="00852C70" w14:paraId="7E69245A" w14:textId="77777777">
        <w:trPr>
          <w:trHeight w:val="31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5B8FB3E1"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w:t>
            </w:r>
          </w:p>
        </w:tc>
        <w:tc>
          <w:tcPr>
            <w:tcW w:w="4026" w:type="dxa"/>
            <w:tcBorders>
              <w:top w:val="nil"/>
              <w:left w:val="nil"/>
              <w:bottom w:val="single" w:sz="4" w:space="0" w:color="auto"/>
              <w:right w:val="single" w:sz="4" w:space="0" w:color="auto"/>
            </w:tcBorders>
            <w:shd w:val="clear" w:color="auto" w:fill="auto"/>
            <w:vAlign w:val="center"/>
            <w:hideMark/>
          </w:tcPr>
          <w:p w14:paraId="32F49DAC"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Printing and reproduction of recorded media</w:t>
            </w:r>
          </w:p>
        </w:tc>
        <w:tc>
          <w:tcPr>
            <w:tcW w:w="425" w:type="dxa"/>
            <w:tcBorders>
              <w:top w:val="nil"/>
              <w:left w:val="nil"/>
              <w:bottom w:val="single" w:sz="4" w:space="0" w:color="auto"/>
              <w:right w:val="single" w:sz="4" w:space="0" w:color="auto"/>
            </w:tcBorders>
            <w:shd w:val="clear" w:color="000000" w:fill="BFBFBF"/>
            <w:noWrap/>
            <w:vAlign w:val="bottom"/>
            <w:hideMark/>
          </w:tcPr>
          <w:p w14:paraId="6D51AEA4"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21</w:t>
            </w:r>
          </w:p>
        </w:tc>
        <w:tc>
          <w:tcPr>
            <w:tcW w:w="4111" w:type="dxa"/>
            <w:tcBorders>
              <w:top w:val="nil"/>
              <w:left w:val="nil"/>
              <w:bottom w:val="single" w:sz="4" w:space="0" w:color="auto"/>
              <w:right w:val="single" w:sz="4" w:space="0" w:color="auto"/>
            </w:tcBorders>
            <w:shd w:val="clear" w:color="auto" w:fill="auto"/>
            <w:vAlign w:val="center"/>
            <w:hideMark/>
          </w:tcPr>
          <w:p w14:paraId="71A5BDA4"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Other means of transportation</w:t>
            </w:r>
          </w:p>
        </w:tc>
      </w:tr>
      <w:tr w:rsidR="00852C70" w14:paraId="1D100E3C" w14:textId="77777777">
        <w:trPr>
          <w:trHeight w:val="630"/>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22A48091"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4026" w:type="dxa"/>
            <w:tcBorders>
              <w:top w:val="nil"/>
              <w:left w:val="nil"/>
              <w:bottom w:val="single" w:sz="4" w:space="0" w:color="auto"/>
              <w:right w:val="single" w:sz="4" w:space="0" w:color="auto"/>
            </w:tcBorders>
            <w:shd w:val="clear" w:color="auto" w:fill="auto"/>
            <w:vAlign w:val="center"/>
            <w:hideMark/>
          </w:tcPr>
          <w:p w14:paraId="1BE4F57F"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Products from coal and petroleum refining</w:t>
            </w:r>
          </w:p>
        </w:tc>
        <w:tc>
          <w:tcPr>
            <w:tcW w:w="425" w:type="dxa"/>
            <w:tcBorders>
              <w:top w:val="nil"/>
              <w:left w:val="nil"/>
              <w:bottom w:val="single" w:sz="4" w:space="0" w:color="auto"/>
              <w:right w:val="single" w:sz="4" w:space="0" w:color="auto"/>
            </w:tcBorders>
            <w:shd w:val="clear" w:color="000000" w:fill="BFBFBF"/>
            <w:noWrap/>
            <w:vAlign w:val="bottom"/>
            <w:hideMark/>
          </w:tcPr>
          <w:p w14:paraId="39AAD32B"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w:t>
            </w:r>
          </w:p>
        </w:tc>
        <w:tc>
          <w:tcPr>
            <w:tcW w:w="4111" w:type="dxa"/>
            <w:tcBorders>
              <w:top w:val="nil"/>
              <w:left w:val="nil"/>
              <w:bottom w:val="single" w:sz="4" w:space="0" w:color="auto"/>
              <w:right w:val="single" w:sz="4" w:space="0" w:color="auto"/>
            </w:tcBorders>
            <w:shd w:val="clear" w:color="auto" w:fill="auto"/>
            <w:vAlign w:val="center"/>
            <w:hideMark/>
          </w:tcPr>
          <w:p w14:paraId="6973DDC7"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Furniture</w:t>
            </w:r>
          </w:p>
        </w:tc>
      </w:tr>
      <w:tr w:rsidR="00852C70" w14:paraId="7A146B23" w14:textId="77777777">
        <w:trPr>
          <w:trHeight w:val="31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0BFEDFB4"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4026" w:type="dxa"/>
            <w:tcBorders>
              <w:top w:val="nil"/>
              <w:left w:val="nil"/>
              <w:bottom w:val="single" w:sz="4" w:space="0" w:color="auto"/>
              <w:right w:val="single" w:sz="4" w:space="0" w:color="auto"/>
            </w:tcBorders>
            <w:shd w:val="clear" w:color="auto" w:fill="auto"/>
            <w:vAlign w:val="center"/>
            <w:hideMark/>
          </w:tcPr>
          <w:p w14:paraId="4BD8AFF1"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Chemicals and goods made from chemicals</w:t>
            </w:r>
          </w:p>
        </w:tc>
        <w:tc>
          <w:tcPr>
            <w:tcW w:w="425" w:type="dxa"/>
            <w:tcBorders>
              <w:top w:val="nil"/>
              <w:left w:val="nil"/>
              <w:bottom w:val="single" w:sz="4" w:space="0" w:color="auto"/>
              <w:right w:val="single" w:sz="4" w:space="0" w:color="auto"/>
            </w:tcBorders>
            <w:shd w:val="clear" w:color="000000" w:fill="BFBFBF"/>
            <w:noWrap/>
            <w:vAlign w:val="bottom"/>
            <w:hideMark/>
          </w:tcPr>
          <w:p w14:paraId="52E28931"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23</w:t>
            </w:r>
          </w:p>
        </w:tc>
        <w:tc>
          <w:tcPr>
            <w:tcW w:w="4111" w:type="dxa"/>
            <w:tcBorders>
              <w:top w:val="nil"/>
              <w:left w:val="nil"/>
              <w:bottom w:val="single" w:sz="4" w:space="0" w:color="auto"/>
              <w:right w:val="single" w:sz="4" w:space="0" w:color="auto"/>
            </w:tcBorders>
            <w:shd w:val="clear" w:color="auto" w:fill="auto"/>
            <w:vAlign w:val="center"/>
            <w:hideMark/>
          </w:tcPr>
          <w:p w14:paraId="57B5F211"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Other processing</w:t>
            </w:r>
          </w:p>
        </w:tc>
      </w:tr>
      <w:tr w:rsidR="00852C70" w14:paraId="0285FEBC" w14:textId="77777777">
        <w:trPr>
          <w:trHeight w:val="630"/>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14:paraId="7C5F0C4E"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w:t>
            </w:r>
          </w:p>
        </w:tc>
        <w:tc>
          <w:tcPr>
            <w:tcW w:w="4026" w:type="dxa"/>
            <w:tcBorders>
              <w:top w:val="nil"/>
              <w:left w:val="nil"/>
              <w:bottom w:val="single" w:sz="4" w:space="0" w:color="auto"/>
              <w:right w:val="single" w:sz="4" w:space="0" w:color="auto"/>
            </w:tcBorders>
            <w:shd w:val="clear" w:color="auto" w:fill="auto"/>
            <w:vAlign w:val="center"/>
            <w:hideMark/>
          </w:tcPr>
          <w:p w14:paraId="6568106F"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Pharmaceuticals, chemical medicinal products and traditional medicines</w:t>
            </w:r>
          </w:p>
        </w:tc>
        <w:tc>
          <w:tcPr>
            <w:tcW w:w="425" w:type="dxa"/>
            <w:tcBorders>
              <w:top w:val="nil"/>
              <w:left w:val="nil"/>
              <w:bottom w:val="single" w:sz="4" w:space="0" w:color="auto"/>
              <w:right w:val="single" w:sz="4" w:space="0" w:color="auto"/>
            </w:tcBorders>
            <w:shd w:val="clear" w:color="000000" w:fill="BFBFBF"/>
            <w:noWrap/>
            <w:vAlign w:val="bottom"/>
            <w:hideMark/>
          </w:tcPr>
          <w:p w14:paraId="644B5527" w14:textId="77777777" w:rsidR="00852C70" w:rsidRDefault="000A17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w:t>
            </w:r>
          </w:p>
        </w:tc>
        <w:tc>
          <w:tcPr>
            <w:tcW w:w="4111" w:type="dxa"/>
            <w:tcBorders>
              <w:top w:val="nil"/>
              <w:left w:val="nil"/>
              <w:bottom w:val="single" w:sz="4" w:space="0" w:color="auto"/>
              <w:right w:val="single" w:sz="4" w:space="0" w:color="auto"/>
            </w:tcBorders>
            <w:shd w:val="clear" w:color="auto" w:fill="auto"/>
            <w:vAlign w:val="center"/>
            <w:hideMark/>
          </w:tcPr>
          <w:p w14:paraId="390EA969" w14:textId="77777777" w:rsidR="00852C70" w:rsidRDefault="000A1714">
            <w:pPr>
              <w:spacing w:after="0" w:line="240" w:lineRule="auto"/>
              <w:jc w:val="both"/>
              <w:rPr>
                <w:rFonts w:ascii="Times New Roman" w:hAnsi="Times New Roman"/>
                <w:color w:val="000000"/>
                <w:sz w:val="24"/>
                <w:szCs w:val="24"/>
              </w:rPr>
            </w:pPr>
            <w:r>
              <w:rPr>
                <w:rFonts w:ascii="Times New Roman" w:hAnsi="Times New Roman"/>
                <w:color w:val="000000"/>
                <w:sz w:val="24"/>
                <w:szCs w:val="24"/>
              </w:rPr>
              <w:t>Machinery and Equipment repair and installation services</w:t>
            </w:r>
          </w:p>
        </w:tc>
      </w:tr>
    </w:tbl>
    <w:p w14:paraId="698A20C0" w14:textId="77777777" w:rsidR="00852C70" w:rsidRDefault="000A1714">
      <w:pPr>
        <w:widowControl w:val="0"/>
        <w:autoSpaceDE w:val="0"/>
        <w:autoSpaceDN w:val="0"/>
        <w:adjustRightInd w:val="0"/>
        <w:spacing w:before="14" w:after="0" w:line="260" w:lineRule="exact"/>
        <w:jc w:val="both"/>
        <w:rPr>
          <w:rFonts w:ascii="Times New Roman" w:hAnsi="Times New Roman"/>
          <w:sz w:val="24"/>
          <w:szCs w:val="24"/>
        </w:rPr>
      </w:pPr>
      <w:r>
        <w:rPr>
          <w:rFonts w:ascii="Times New Roman" w:hAnsi="Times New Roman"/>
          <w:sz w:val="24"/>
          <w:szCs w:val="24"/>
        </w:rPr>
        <w:t>Source: https://www.bps.go.id/subject/9/industri-besar-dan-sedang.html</w:t>
      </w:r>
    </w:p>
    <w:p w14:paraId="73175744" w14:textId="77777777" w:rsidR="00852C70" w:rsidRDefault="00852C70">
      <w:pPr>
        <w:widowControl w:val="0"/>
        <w:autoSpaceDE w:val="0"/>
        <w:autoSpaceDN w:val="0"/>
        <w:adjustRightInd w:val="0"/>
        <w:spacing w:before="14" w:after="0" w:line="260" w:lineRule="exact"/>
        <w:ind w:left="101" w:firstLine="619"/>
        <w:jc w:val="both"/>
        <w:rPr>
          <w:rFonts w:ascii="Times New Roman" w:hAnsi="Times New Roman"/>
          <w:sz w:val="24"/>
          <w:szCs w:val="24"/>
          <w:lang w:val="id-ID"/>
        </w:rPr>
      </w:pPr>
    </w:p>
    <w:p w14:paraId="617BC3A9" w14:textId="77777777" w:rsidR="00852C70" w:rsidRDefault="000A1714">
      <w:pPr>
        <w:widowControl w:val="0"/>
        <w:autoSpaceDE w:val="0"/>
        <w:autoSpaceDN w:val="0"/>
        <w:adjustRightInd w:val="0"/>
        <w:spacing w:before="14" w:after="0" w:line="260" w:lineRule="exact"/>
        <w:ind w:left="101" w:firstLine="619"/>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The research was carried out in Semarang City </w:t>
      </w:r>
      <w:r>
        <w:rPr>
          <w:rFonts w:ascii="Times New Roman" w:hAnsi="Times New Roman"/>
          <w:sz w:val="24"/>
          <w:szCs w:val="24"/>
          <w:lang w:val="id-ID"/>
        </w:rPr>
        <w:t xml:space="preserve">because of the lack of environmental management accounting practices that occur in Semarang </w:t>
      </w:r>
      <w:r>
        <w:rPr>
          <w:rFonts w:ascii="Times New Roman" w:hAnsi="Times New Roman"/>
          <w:sz w:val="24"/>
          <w:szCs w:val="24"/>
        </w:rPr>
        <w:t xml:space="preserve">City </w:t>
      </w:r>
      <w:r>
        <w:rPr>
          <w:rFonts w:ascii="Times New Roman" w:hAnsi="Times New Roman"/>
          <w:sz w:val="24"/>
          <w:szCs w:val="24"/>
          <w:lang w:val="id-ID"/>
        </w:rPr>
        <w:t xml:space="preserve">. </w:t>
      </w:r>
      <w:r>
        <w:rPr>
          <w:rFonts w:ascii="Times New Roman" w:hAnsi="Times New Roman"/>
          <w:sz w:val="24"/>
          <w:szCs w:val="24"/>
        </w:rPr>
        <w:t xml:space="preserve">This can be </w:t>
      </w:r>
      <w:r>
        <w:rPr>
          <w:rFonts w:ascii="Times New Roman" w:hAnsi="Times New Roman"/>
          <w:sz w:val="24"/>
          <w:szCs w:val="24"/>
          <w:lang w:val="id-ID"/>
        </w:rPr>
        <w:t xml:space="preserve">seen from several </w:t>
      </w:r>
      <w:r>
        <w:rPr>
          <w:rFonts w:ascii="Times New Roman" w:hAnsi="Times New Roman"/>
          <w:sz w:val="24"/>
          <w:szCs w:val="24"/>
          <w:lang w:val="id-ID"/>
        </w:rPr>
        <w:lastRenderedPageBreak/>
        <w:t xml:space="preserve">examples of cases that occur in the surrounding environment, such as river pollution </w:t>
      </w:r>
      <w:r>
        <w:rPr>
          <w:rFonts w:ascii="Times New Roman" w:hAnsi="Times New Roman"/>
          <w:sz w:val="24"/>
          <w:szCs w:val="24"/>
        </w:rPr>
        <w:t>due to</w:t>
      </w:r>
      <w:r>
        <w:rPr>
          <w:rFonts w:ascii="Times New Roman" w:hAnsi="Times New Roman"/>
          <w:sz w:val="24"/>
          <w:szCs w:val="24"/>
          <w:lang w:val="id-ID"/>
        </w:rPr>
        <w:t xml:space="preserve"> </w:t>
      </w:r>
      <w:r>
        <w:rPr>
          <w:rFonts w:ascii="Times New Roman" w:hAnsi="Times New Roman"/>
          <w:sz w:val="24"/>
          <w:szCs w:val="24"/>
        </w:rPr>
        <w:t xml:space="preserve">factory waste </w:t>
      </w:r>
      <w:r>
        <w:rPr>
          <w:rFonts w:ascii="Times New Roman" w:hAnsi="Times New Roman"/>
          <w:sz w:val="24"/>
          <w:szCs w:val="24"/>
          <w:lang w:val="id-ID"/>
        </w:rPr>
        <w:t xml:space="preserve">that occurs in </w:t>
      </w:r>
      <w:r>
        <w:rPr>
          <w:rFonts w:ascii="Times New Roman" w:hAnsi="Times New Roman"/>
          <w:sz w:val="24"/>
          <w:szCs w:val="24"/>
        </w:rPr>
        <w:t xml:space="preserve">the Tenggang River, Genuk Kaligawe area, Semarang City. </w:t>
      </w:r>
      <w:r>
        <w:rPr>
          <w:rFonts w:ascii="Times New Roman" w:hAnsi="Times New Roman"/>
          <w:sz w:val="24"/>
          <w:szCs w:val="24"/>
          <w:lang w:val="id-ID"/>
        </w:rPr>
        <w:t xml:space="preserve">Research conducted by Sari et al., </w:t>
      </w:r>
      <w:r>
        <w:rPr>
          <w:rFonts w:ascii="Times New Roman" w:hAnsi="Times New Roman"/>
          <w:sz w:val="24"/>
          <w:szCs w:val="24"/>
        </w:rPr>
        <w:t xml:space="preserve">( </w:t>
      </w:r>
      <w:r>
        <w:rPr>
          <w:rFonts w:ascii="Times New Roman" w:hAnsi="Times New Roman"/>
          <w:sz w:val="24"/>
          <w:szCs w:val="24"/>
          <w:lang w:val="id-ID"/>
        </w:rPr>
        <w:t xml:space="preserve">2020) targeted operational managers from 86 manufacturing companies as respondents. </w:t>
      </w:r>
      <w:r>
        <w:rPr>
          <w:rFonts w:ascii="Times New Roman" w:hAnsi="Times New Roman"/>
          <w:sz w:val="24"/>
          <w:szCs w:val="24"/>
        </w:rPr>
        <w:t xml:space="preserve">This is because </w:t>
      </w:r>
      <w:r>
        <w:rPr>
          <w:rFonts w:ascii="Times New Roman" w:hAnsi="Times New Roman"/>
          <w:sz w:val="24"/>
          <w:szCs w:val="24"/>
          <w:lang w:val="id-ID"/>
        </w:rPr>
        <w:t xml:space="preserve">operational managers have the responsibility to report company performance to the company's marketing director. </w:t>
      </w:r>
      <w:r>
        <w:rPr>
          <w:rFonts w:ascii="Times New Roman" w:hAnsi="Times New Roman"/>
          <w:sz w:val="24"/>
          <w:szCs w:val="24"/>
        </w:rPr>
        <w:t xml:space="preserve">Therefore, the respondents </w:t>
      </w:r>
      <w:r>
        <w:rPr>
          <w:rFonts w:ascii="Times New Roman" w:hAnsi="Times New Roman"/>
          <w:sz w:val="24"/>
          <w:szCs w:val="24"/>
          <w:lang w:val="id-ID"/>
        </w:rPr>
        <w:t>in this study were</w:t>
      </w:r>
      <w:r>
        <w:rPr>
          <w:rFonts w:ascii="Times New Roman" w:hAnsi="Times New Roman"/>
          <w:sz w:val="24"/>
          <w:szCs w:val="24"/>
        </w:rPr>
        <w:t xml:space="preserve"> </w:t>
      </w:r>
      <w:r>
        <w:rPr>
          <w:rFonts w:ascii="Times New Roman" w:hAnsi="Times New Roman"/>
          <w:sz w:val="24"/>
          <w:szCs w:val="24"/>
          <w:lang w:val="id-ID"/>
        </w:rPr>
        <w:t>middle level managers at manufacturing companies in Semarang City.</w:t>
      </w:r>
      <w:r>
        <w:rPr>
          <w:rFonts w:ascii="Times New Roman" w:hAnsi="Times New Roman"/>
          <w:sz w:val="24"/>
          <w:szCs w:val="24"/>
        </w:rPr>
        <w:t xml:space="preserve"> </w:t>
      </w:r>
    </w:p>
    <w:p w14:paraId="640E2341" w14:textId="77777777" w:rsidR="00852C70" w:rsidRDefault="000A1714">
      <w:pPr>
        <w:widowControl w:val="0"/>
        <w:autoSpaceDE w:val="0"/>
        <w:autoSpaceDN w:val="0"/>
        <w:adjustRightInd w:val="0"/>
        <w:spacing w:before="14" w:after="0" w:line="260" w:lineRule="exact"/>
        <w:ind w:left="101" w:firstLine="619"/>
        <w:jc w:val="both"/>
        <w:rPr>
          <w:rFonts w:ascii="Times New Roman" w:hAnsi="Times New Roman"/>
          <w:sz w:val="24"/>
          <w:szCs w:val="24"/>
        </w:rPr>
      </w:pPr>
      <w:r>
        <w:rPr>
          <w:rFonts w:ascii="Times New Roman" w:hAnsi="Times New Roman"/>
          <w:sz w:val="24"/>
          <w:szCs w:val="24"/>
          <w:lang w:val="id-ID"/>
        </w:rPr>
        <w:t xml:space="preserve">The sample is part of the population that meets the criteria for data to be measured in the research. </w:t>
      </w:r>
      <w:r>
        <w:rPr>
          <w:rFonts w:ascii="Times New Roman" w:hAnsi="Times New Roman"/>
          <w:sz w:val="24"/>
          <w:szCs w:val="24"/>
        </w:rPr>
        <w:t xml:space="preserve">To take samples as a basis for research measurements, the </w:t>
      </w:r>
      <w:r>
        <w:rPr>
          <w:rFonts w:ascii="Times New Roman" w:hAnsi="Times New Roman"/>
          <w:i/>
          <w:sz w:val="24"/>
          <w:szCs w:val="24"/>
        </w:rPr>
        <w:t xml:space="preserve">cencus sampling technique </w:t>
      </w:r>
      <w:r>
        <w:rPr>
          <w:rFonts w:ascii="Times New Roman" w:hAnsi="Times New Roman"/>
          <w:sz w:val="24"/>
          <w:szCs w:val="24"/>
        </w:rPr>
        <w:t xml:space="preserve">was used on the population, namely all manufacturing companies in Semarang City, Central Java. </w:t>
      </w:r>
      <w:r>
        <w:rPr>
          <w:rFonts w:ascii="Times New Roman" w:hAnsi="Times New Roman"/>
          <w:i/>
          <w:sz w:val="24"/>
          <w:szCs w:val="24"/>
        </w:rPr>
        <w:t xml:space="preserve">Cencus sampling </w:t>
      </w:r>
      <w:r>
        <w:rPr>
          <w:rFonts w:ascii="Times New Roman" w:hAnsi="Times New Roman"/>
          <w:sz w:val="24"/>
          <w:szCs w:val="24"/>
        </w:rPr>
        <w:t xml:space="preserve">is a sample determination method where researchers use research samples from all questionnaires returned from the total sent to the population. </w:t>
      </w:r>
      <w:r>
        <w:rPr>
          <w:rFonts w:ascii="Times New Roman" w:hAnsi="Times New Roman"/>
          <w:sz w:val="24"/>
          <w:szCs w:val="24"/>
          <w:lang w:val="id-ID"/>
        </w:rPr>
        <w:t xml:space="preserve">To determine the minimum sample,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{"citationItems":[{"id":"ITEM-1","itemData":{"DOI":"10.2753/MTP1069-6679190202","ISSN":"10696679","abstract":"Structural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Practice","id":"ITEM-1","issued":{"date-parts":[["2011"]]},"title":"PLS-SEM: Indeed a silver bullet","type":"article-journal"},"uris":["http://www.mendeley.com/documents/?uuid=56001506-e83b-433d-82fc-76a3ca3d2050","http://www.mendeley.com/documents/?uuid=59ddc283-5342-4a86-a968-020ca883b514"]}],"mendeley":{"formattedCitation":"(Hair et al., 2011)","manualFormatting":"Hair et al, (2011)","plainTextFormattedCitation":"(Hair et al., 2011)","previouslyFormattedCitation":"(Hair et al., 2011)"},"properties":{"noteIndex":0},"schema":"https://github.com/citation-style-language/schema/raw/master/csl-citation.json"}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Hair et al, (2011) </w:t>
      </w:r>
      <w:r>
        <w:rPr>
          <w:rFonts w:ascii="Times New Roman" w:hAnsi="Times New Roman"/>
          <w:sz w:val="24"/>
          <w:szCs w:val="24"/>
          <w:lang w:val="id-ID"/>
        </w:rPr>
        <w:fldChar w:fldCharType="end"/>
      </w:r>
      <w:r>
        <w:rPr>
          <w:rFonts w:ascii="Times New Roman" w:hAnsi="Times New Roman"/>
          <w:sz w:val="24"/>
          <w:szCs w:val="24"/>
          <w:lang w:val="id-ID"/>
        </w:rPr>
        <w:t xml:space="preserve">recommend a minimum of 100-500 respondents to measure the relationship between hypotheses when using SEM ( </w:t>
      </w:r>
      <w:r>
        <w:rPr>
          <w:rFonts w:ascii="Times New Roman" w:hAnsi="Times New Roman"/>
          <w:i/>
          <w:sz w:val="24"/>
          <w:szCs w:val="24"/>
          <w:lang w:val="id-ID"/>
        </w:rPr>
        <w:t xml:space="preserve">Structural equation model </w:t>
      </w:r>
      <w:r>
        <w:rPr>
          <w:rFonts w:ascii="Times New Roman" w:hAnsi="Times New Roman"/>
          <w:sz w:val="24"/>
          <w:szCs w:val="24"/>
          <w:lang w:val="id-ID"/>
        </w:rPr>
        <w:t>) analysis.</w:t>
      </w:r>
      <w:r>
        <w:rPr>
          <w:rFonts w:ascii="Times New Roman" w:hAnsi="Times New Roman"/>
          <w:sz w:val="24"/>
          <w:szCs w:val="24"/>
        </w:rPr>
        <w:t xml:space="preserve"> </w:t>
      </w:r>
    </w:p>
    <w:p w14:paraId="0D6B4DEE" w14:textId="77777777" w:rsidR="00852C70" w:rsidRDefault="00852C70">
      <w:pPr>
        <w:widowControl w:val="0"/>
        <w:autoSpaceDE w:val="0"/>
        <w:autoSpaceDN w:val="0"/>
        <w:adjustRightInd w:val="0"/>
        <w:spacing w:before="14" w:after="0" w:line="260" w:lineRule="exact"/>
        <w:jc w:val="both"/>
        <w:rPr>
          <w:rFonts w:ascii="Times New Roman" w:hAnsi="Times New Roman"/>
          <w:sz w:val="24"/>
          <w:szCs w:val="24"/>
        </w:rPr>
      </w:pPr>
    </w:p>
    <w:p w14:paraId="68996AB7" w14:textId="77777777" w:rsidR="00852C70" w:rsidRDefault="000A1714">
      <w:pPr>
        <w:widowControl w:val="0"/>
        <w:autoSpaceDE w:val="0"/>
        <w:autoSpaceDN w:val="0"/>
        <w:adjustRightInd w:val="0"/>
        <w:spacing w:after="0" w:line="240" w:lineRule="auto"/>
        <w:ind w:left="101"/>
        <w:jc w:val="both"/>
        <w:rPr>
          <w:rFonts w:ascii="Times New Roman" w:hAnsi="Times New Roman"/>
          <w:b/>
          <w:sz w:val="24"/>
          <w:szCs w:val="24"/>
          <w:lang w:val="id-ID"/>
        </w:rPr>
      </w:pPr>
      <w:r>
        <w:rPr>
          <w:rFonts w:ascii="Times New Roman" w:hAnsi="Times New Roman"/>
          <w:b/>
          <w:sz w:val="24"/>
          <w:szCs w:val="24"/>
          <w:lang w:val="id-ID"/>
        </w:rPr>
        <w:t>3.6 Data Analysis Methods</w:t>
      </w:r>
    </w:p>
    <w:p w14:paraId="609FE4B7" w14:textId="77777777" w:rsidR="00852C70" w:rsidRDefault="000A1714">
      <w:pPr>
        <w:widowControl w:val="0"/>
        <w:autoSpaceDE w:val="0"/>
        <w:autoSpaceDN w:val="0"/>
        <w:adjustRightInd w:val="0"/>
        <w:spacing w:before="14" w:after="0" w:line="260" w:lineRule="exact"/>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 xml:space="preserve">According to Sugiyono (2015) quantitative research methods are research methods that are based on samples of positivism philosophy with the aim of testing predetermined hypotheses. This is achieved by researching a certain population or sample, collecting data to be processed using research instruments, then carrying out quantitative or statistical data analysis. The quantitative research carried out in this research uses an explanatory design, namely using an explanatory research object of study </w:t>
      </w:r>
      <w:r>
        <w:rPr>
          <w:rFonts w:ascii="Times New Roman" w:hAnsi="Times New Roman"/>
          <w:bCs/>
          <w:i/>
          <w:sz w:val="24"/>
          <w:szCs w:val="24"/>
        </w:rPr>
        <w:t xml:space="preserve">. </w:t>
      </w:r>
      <w:r>
        <w:rPr>
          <w:rFonts w:ascii="Times New Roman" w:hAnsi="Times New Roman"/>
          <w:bCs/>
          <w:sz w:val="24"/>
          <w:szCs w:val="24"/>
        </w:rPr>
        <w:t xml:space="preserve">Explanatory research uses methods to explain causal relationships between variables that have been determined through hypothesis testing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{"citationItems":[{"id":"ITEM-1","itemData":{"DOI":"10.31445/jskm.2011.150106","ISSN":"1978-5003","abstract":"Quantitative research is a research approach that represents the understanding of positivism, while qualitative research is an approach that represents a familiar naturalistic research (phenomenology). Research with quantitative and qualitative approach by some may not be mixed, but knowledge is considered wrong by researchers who noticed that each research approach has a weakness, and therefore deemed necessary to do a combination, for each approach complement each other. The reason for the selection of both research approaches is that both types of research are mutually reinforcing and complementing each other so that research results will be achieved not only an objective, structured and measurable but it will be achieved also in-depth research results and factual.","author":[{"dropping-particle":"","family":"Mulyadi","given":"Mohammad","non-dropping-particle":"","parse-names":false,"suffix":""}],"container-title":"Jurnal Studi Komunikasi dan Media","id":"ITEM-1","issue":"1","issued":{"date-parts":[["2013"]]},"page":"128","title":"Penelitian Kuantitatif Dan Kualitatif Serta Pemikiran Dasar Menggabungkannya","type":"article-journal","volume":"15"},"uris":["http://www.mendeley.com/documents/?uuid=c6ea9f47-982a-41c7-8517-934714d062bc"]}],"mendeley":{"formattedCitation":"(Mulyadi, 2013)","plainTextFormattedCitation":"(Mulyadi, 2013)","previouslyFormattedCitation":"(Mulyadi, 2013)"},"properties":{"noteIndex":0},"schema":"https://github.com/citation-style-language/schema/raw/master/csl-citation.json"}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(Mulyadi, 2013) </w:t>
      </w:r>
      <w:r>
        <w:rPr>
          <w:rFonts w:ascii="Times New Roman" w:hAnsi="Times New Roman"/>
          <w:bCs/>
          <w:sz w:val="24"/>
          <w:szCs w:val="24"/>
        </w:rPr>
        <w:fldChar w:fldCharType="end"/>
      </w:r>
      <w:r>
        <w:rPr>
          <w:rFonts w:ascii="Times New Roman" w:hAnsi="Times New Roman"/>
          <w:bCs/>
          <w:sz w:val="24"/>
          <w:szCs w:val="24"/>
        </w:rPr>
        <w:t>. Explanatory research uses a sample as the basis for testing, then generalizes it to the population of that sample.</w:t>
      </w:r>
    </w:p>
    <w:p w14:paraId="71163272" w14:textId="77777777" w:rsidR="00852C70" w:rsidRDefault="000A1714">
      <w:pPr>
        <w:widowControl w:val="0"/>
        <w:autoSpaceDE w:val="0"/>
        <w:autoSpaceDN w:val="0"/>
        <w:adjustRightInd w:val="0"/>
        <w:spacing w:before="14" w:after="0" w:line="260" w:lineRule="exact"/>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fldChar w:fldCharType="begin"/>
      </w:r>
      <w:r>
        <w:rPr>
          <w:rFonts w:ascii="Times New Roman" w:hAnsi="Times New Roman"/>
          <w:bCs/>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approach.","author":[{"dropping-particle":"","family":"Suliyanto","given":"","non-dropping-particle":"","parse-names":false,"suffix":""}],"container-title":"Journal of Chemical Information and Modeling","id":"ITEM-1","issue":"2","issued":{"date-parts":[["2017"]]},"page":"223-232","title":"Pelatihan Metode Pelatihan Kuantitatif","type":"article-journal","volume":"5"},"uris":["http://www.mendeley.com/documents/?uuid=bf2e7414-7ecc-4fee-897d-2080d7b4af63"]}],"mendeley":{"formattedCitation":"(Suliyanto, 2017)","manualFormatting":"Suliyanto (2017)","plainTextFormattedCitation":"(Suliyanto, 2017)","previouslyFormattedCitation":"(Suliyanto, 2017)"},"properties":{"noteIndex":0},"schema":"https://github.com/citation-style-language/schema/raw/master/csl-citation.json"}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Suliyanto (2017) </w:t>
      </w:r>
      <w:r>
        <w:rPr>
          <w:rFonts w:ascii="Times New Roman" w:hAnsi="Times New Roman"/>
          <w:bCs/>
          <w:sz w:val="24"/>
          <w:szCs w:val="24"/>
        </w:rPr>
        <w:fldChar w:fldCharType="end"/>
      </w:r>
      <w:r>
        <w:rPr>
          <w:rFonts w:ascii="Times New Roman" w:hAnsi="Times New Roman"/>
          <w:bCs/>
          <w:sz w:val="24"/>
          <w:szCs w:val="24"/>
        </w:rPr>
        <w:t xml:space="preserve">stated that explanatory or causal analysis can use the help of the Smart PLS application for data processing. The model in Smart PLS consists of two stages, namely the measurement model ( </w:t>
      </w:r>
      <w:r>
        <w:rPr>
          <w:rFonts w:ascii="Times New Roman" w:hAnsi="Times New Roman"/>
          <w:bCs/>
          <w:i/>
          <w:sz w:val="24"/>
          <w:szCs w:val="24"/>
        </w:rPr>
        <w:t xml:space="preserve">outer model </w:t>
      </w:r>
      <w:r>
        <w:rPr>
          <w:rFonts w:ascii="Times New Roman" w:hAnsi="Times New Roman"/>
          <w:bCs/>
          <w:sz w:val="24"/>
          <w:szCs w:val="24"/>
        </w:rPr>
        <w:t xml:space="preserve">) and the structural model ( </w:t>
      </w:r>
      <w:r>
        <w:rPr>
          <w:rFonts w:ascii="Times New Roman" w:hAnsi="Times New Roman"/>
          <w:bCs/>
          <w:i/>
          <w:sz w:val="24"/>
          <w:szCs w:val="24"/>
        </w:rPr>
        <w:t xml:space="preserve">inner model </w:t>
      </w:r>
      <w:r>
        <w:rPr>
          <w:rFonts w:ascii="Times New Roman" w:hAnsi="Times New Roman"/>
          <w:bCs/>
          <w:sz w:val="24"/>
          <w:szCs w:val="24"/>
        </w:rPr>
        <w:t>).</w:t>
      </w:r>
    </w:p>
    <w:p w14:paraId="7B9A23D1" w14:textId="77777777" w:rsidR="00852C70" w:rsidRDefault="00852C70">
      <w:pPr>
        <w:widowControl w:val="0"/>
        <w:autoSpaceDE w:val="0"/>
        <w:autoSpaceDN w:val="0"/>
        <w:adjustRightInd w:val="0"/>
        <w:spacing w:before="14" w:after="0" w:line="260" w:lineRule="exact"/>
        <w:jc w:val="both"/>
        <w:rPr>
          <w:rFonts w:ascii="Times New Roman" w:hAnsi="Times New Roman"/>
          <w:bCs/>
          <w:sz w:val="24"/>
          <w:szCs w:val="24"/>
        </w:rPr>
      </w:pPr>
    </w:p>
    <w:p w14:paraId="635CF20C" w14:textId="77777777" w:rsidR="00852C70" w:rsidRDefault="000A1714">
      <w:pPr>
        <w:widowControl w:val="0"/>
        <w:autoSpaceDE w:val="0"/>
        <w:autoSpaceDN w:val="0"/>
        <w:adjustRightInd w:val="0"/>
        <w:spacing w:before="14" w:after="0" w:line="260" w:lineRule="exact"/>
        <w:jc w:val="both"/>
        <w:rPr>
          <w:rFonts w:ascii="Times New Roman" w:hAnsi="Times New Roman"/>
          <w:b/>
          <w:bCs/>
          <w:sz w:val="24"/>
          <w:szCs w:val="24"/>
        </w:rPr>
      </w:pPr>
      <w:r>
        <w:rPr>
          <w:rFonts w:ascii="Times New Roman" w:hAnsi="Times New Roman"/>
          <w:b/>
          <w:bCs/>
          <w:sz w:val="24"/>
          <w:szCs w:val="24"/>
        </w:rPr>
        <w:t xml:space="preserve">3.6.1. Measurement Model ( </w:t>
      </w:r>
      <w:r>
        <w:rPr>
          <w:rFonts w:ascii="Times New Roman" w:hAnsi="Times New Roman"/>
          <w:b/>
          <w:bCs/>
          <w:i/>
          <w:sz w:val="24"/>
          <w:szCs w:val="24"/>
        </w:rPr>
        <w:t xml:space="preserve">Outer Model </w:t>
      </w:r>
      <w:r>
        <w:rPr>
          <w:rFonts w:ascii="Times New Roman" w:hAnsi="Times New Roman"/>
          <w:b/>
          <w:bCs/>
          <w:sz w:val="24"/>
          <w:szCs w:val="24"/>
        </w:rPr>
        <w:t>)</w:t>
      </w:r>
    </w:p>
    <w:p w14:paraId="7FBEB090" w14:textId="77777777" w:rsidR="00852C70" w:rsidRDefault="000A1714">
      <w:pPr>
        <w:widowControl w:val="0"/>
        <w:autoSpaceDE w:val="0"/>
        <w:autoSpaceDN w:val="0"/>
        <w:adjustRightInd w:val="0"/>
        <w:spacing w:before="14" w:after="0" w:line="260" w:lineRule="exact"/>
        <w:ind w:firstLine="720"/>
        <w:jc w:val="both"/>
        <w:rPr>
          <w:rFonts w:ascii="Times New Roman" w:hAnsi="Times New Roman"/>
          <w:bCs/>
          <w:sz w:val="24"/>
          <w:szCs w:val="24"/>
        </w:rPr>
      </w:pPr>
      <w:r>
        <w:rPr>
          <w:rFonts w:ascii="Times New Roman" w:hAnsi="Times New Roman"/>
          <w:bCs/>
          <w:sz w:val="24"/>
          <w:szCs w:val="24"/>
        </w:rPr>
        <w:t xml:space="preserve">The measurement model or </w:t>
      </w:r>
      <w:r>
        <w:rPr>
          <w:rFonts w:ascii="Times New Roman" w:hAnsi="Times New Roman"/>
          <w:bCs/>
          <w:i/>
          <w:sz w:val="24"/>
          <w:szCs w:val="24"/>
        </w:rPr>
        <w:t xml:space="preserve">outer model </w:t>
      </w:r>
      <w:r>
        <w:rPr>
          <w:rFonts w:ascii="Times New Roman" w:hAnsi="Times New Roman"/>
          <w:bCs/>
          <w:sz w:val="24"/>
          <w:szCs w:val="24"/>
        </w:rPr>
        <w:t xml:space="preserve">defines how each indicator is related to its latent variable with the aim of knowing the validity and reliability of the indicators that form the determined research variables. In accordance with this definition, </w:t>
      </w:r>
      <w:r>
        <w:rPr>
          <w:rFonts w:ascii="Times New Roman" w:hAnsi="Times New Roman"/>
          <w:bCs/>
          <w:i/>
          <w:sz w:val="24"/>
          <w:szCs w:val="24"/>
        </w:rPr>
        <w:t xml:space="preserve">the outer model </w:t>
      </w:r>
      <w:r>
        <w:rPr>
          <w:rFonts w:ascii="Times New Roman" w:hAnsi="Times New Roman"/>
          <w:bCs/>
          <w:sz w:val="24"/>
          <w:szCs w:val="24"/>
        </w:rPr>
        <w:t xml:space="preserve">carries out several tests, namely validity and reliability tests. In research, it is important to test the quality of data in order to determine the consistency and accuracy of data measurements so that it can produce quality research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author":[{"dropping-particle":"","family":"Yusup","given":"Febrianawati","non-dropping-particle":"","parse-names":false,"suffix":""},{"dropping-particle":"","family":"Studi","given":"Program","non-dropping-particle":"","parse-names":false,"suffix":""},{"dropping-particle":"","family":"Biologi","given":"Tadris","non-dropping-particle":"","parse-names":false,"suffix":""},{"dropping-particle":"","family":"Islam","given":"Universitas","non-dropping-particle":"","parse-names":false,"suffix":""},{"dropping-particle":"","family":"Antasari","given":"Negeri","non-dropping-particle":"","parse-names":false,"suffix":""}],"id":"ITEM-1","issue":"1","issued":{"date-parts":[["2018"]]},"page":"17-23","title":"UJI VALIDITAS DAN RELIABILITAS","type":"article-journal","volume":"7"},"uris":["http://www.mendeley.com/documents/?uuid=9245fe8e-1740-477b-a5b4-9e82405534af"]}],"mendeley":{"formattedCitation":"(Yusup et al., 2018)","plainTextFormattedCitation":"(Yusup et al., 2018)","previouslyFormattedCitation":"(Yusup et al., 2018)"},"properties":{"noteIndex":0},"schema":"https://github.com/citation-style-language/schema/raw/master/csl-citation.json"}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(Yusup et al., 2018) </w:t>
      </w:r>
      <w:r>
        <w:rPr>
          <w:rFonts w:ascii="Times New Roman" w:hAnsi="Times New Roman"/>
          <w:bCs/>
          <w:sz w:val="24"/>
          <w:szCs w:val="24"/>
        </w:rPr>
        <w:fldChar w:fldCharType="end"/>
      </w:r>
      <w:r>
        <w:rPr>
          <w:rFonts w:ascii="Times New Roman" w:hAnsi="Times New Roman"/>
          <w:bCs/>
          <w:sz w:val="24"/>
          <w:szCs w:val="24"/>
        </w:rPr>
        <w:t>. According to Indriantoro and Supomo (1999), there are two ways to evaluate the quality of data. These concepts are validity testing and reliability testing.</w:t>
      </w:r>
    </w:p>
    <w:p w14:paraId="51888E54" w14:textId="77777777" w:rsidR="00852C70" w:rsidRDefault="00852C70">
      <w:pPr>
        <w:widowControl w:val="0"/>
        <w:autoSpaceDE w:val="0"/>
        <w:autoSpaceDN w:val="0"/>
        <w:adjustRightInd w:val="0"/>
        <w:spacing w:before="14" w:after="0" w:line="260" w:lineRule="exact"/>
        <w:ind w:firstLine="720"/>
        <w:jc w:val="both"/>
        <w:rPr>
          <w:rFonts w:ascii="Times New Roman" w:hAnsi="Times New Roman"/>
          <w:bCs/>
          <w:sz w:val="24"/>
          <w:szCs w:val="24"/>
        </w:rPr>
      </w:pPr>
    </w:p>
    <w:p w14:paraId="7EC91CD4" w14:textId="77777777" w:rsidR="00852C70" w:rsidRDefault="000A1714">
      <w:pPr>
        <w:spacing w:before="14" w:after="0" w:line="260" w:lineRule="exact"/>
        <w:rPr>
          <w:rFonts w:ascii="Times New Roman" w:hAnsi="Times New Roman"/>
          <w:b/>
          <w:sz w:val="24"/>
          <w:szCs w:val="24"/>
        </w:rPr>
      </w:pPr>
      <w:r>
        <w:rPr>
          <w:rFonts w:ascii="Times New Roman" w:hAnsi="Times New Roman"/>
          <w:b/>
          <w:sz w:val="24"/>
          <w:szCs w:val="24"/>
        </w:rPr>
        <w:t>3.6.1.1. Validity test</w:t>
      </w:r>
    </w:p>
    <w:p w14:paraId="0463FBF0" w14:textId="77777777" w:rsidR="00852C70" w:rsidRDefault="000A1714">
      <w:pPr>
        <w:spacing w:before="14" w:after="0" w:line="260" w:lineRule="exact"/>
        <w:ind w:firstLine="720"/>
        <w:jc w:val="both"/>
        <w:rPr>
          <w:rFonts w:ascii="Times New Roman" w:hAnsi="Times New Roman"/>
          <w:i/>
          <w:sz w:val="24"/>
          <w:szCs w:val="24"/>
        </w:rPr>
      </w:pPr>
      <w:r>
        <w:rPr>
          <w:rFonts w:ascii="Times New Roman" w:hAnsi="Times New Roman"/>
          <w:sz w:val="24"/>
          <w:szCs w:val="24"/>
        </w:rPr>
        <w:t xml:space="preserve">Validity test is a test with the aim of measuring whether a questionnaire is valid or not. A questionnaire will be said to be valid if the questionnaire can reveal data originating from variables accurately and in accordance with the actual situation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Yusup","given":"Febrianawati","non-dropping-particle":"","parse-names":false,"suffix":""},{"dropping-particle":"","family":"Studi","given":"Program","non-dropping-particle":"","parse-names":false,"suffix":""},{"dropping-particle":"","family":"Biologi","given":"Tadris","non-dropping-particle":"","parse-names":false,"suffix":""},{"dropping-particle":"","family":"Islam","given":"Universitas","non-dropping-particle":"","parse-names":false,"suffix":""},{"dropping-particle":"","family":"Antasari","given":"Negeri","non-dropping-particle":"","parse-names":false,"suffix":""}],"id":"ITEM-1","issue":"1","issued":{"date-parts":[["2018"]]},"page":"17-23","title":"UJI VALIDITAS DAN RELIABILITAS","type":"article-journal","volume":"7"},"uris":["http://www.mendeley.com/documents/?uuid=9245fe8e-1740-477b-a5b4-9e82405534af"]}],"mendeley":{"formattedCitation":"(Yusup et al., 2018)","plainTextFormattedCitation":"(Yusup et al., 2018)","previouslyFormattedCitation":"(Yusup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(Yusup et al., 2018) </w:t>
      </w:r>
      <w:r>
        <w:rPr>
          <w:rFonts w:ascii="Times New Roman" w:hAnsi="Times New Roman"/>
          <w:sz w:val="24"/>
          <w:szCs w:val="24"/>
        </w:rPr>
        <w:fldChar w:fldCharType="end"/>
      </w:r>
      <w:r>
        <w:rPr>
          <w:rFonts w:ascii="Times New Roman" w:hAnsi="Times New Roman"/>
          <w:sz w:val="24"/>
          <w:szCs w:val="24"/>
        </w:rPr>
        <w:t xml:space="preserve">. Validity tests have two types, namely convergent validity </w:t>
      </w:r>
      <w:r>
        <w:rPr>
          <w:rFonts w:ascii="Times New Roman" w:hAnsi="Times New Roman"/>
          <w:i/>
          <w:sz w:val="24"/>
          <w:szCs w:val="24"/>
        </w:rPr>
        <w:t xml:space="preserve">and </w:t>
      </w:r>
      <w:r>
        <w:rPr>
          <w:rFonts w:ascii="Times New Roman" w:hAnsi="Times New Roman"/>
          <w:sz w:val="24"/>
          <w:szCs w:val="24"/>
        </w:rPr>
        <w:t xml:space="preserve">discriminant validity </w:t>
      </w:r>
      <w:r>
        <w:rPr>
          <w:rFonts w:ascii="Times New Roman" w:hAnsi="Times New Roman"/>
          <w:i/>
          <w:sz w:val="24"/>
          <w:szCs w:val="24"/>
        </w:rPr>
        <w:t>.</w:t>
      </w:r>
    </w:p>
    <w:p w14:paraId="0AC4D0AD" w14:textId="77777777" w:rsidR="00852C70" w:rsidRDefault="00852C70">
      <w:pPr>
        <w:spacing w:before="14" w:after="0" w:line="260" w:lineRule="exact"/>
        <w:ind w:firstLine="720"/>
        <w:jc w:val="both"/>
        <w:rPr>
          <w:rFonts w:ascii="Times New Roman" w:hAnsi="Times New Roman"/>
          <w:i/>
          <w:sz w:val="24"/>
          <w:szCs w:val="24"/>
        </w:rPr>
      </w:pPr>
    </w:p>
    <w:p w14:paraId="3B862FF3" w14:textId="77777777" w:rsidR="00852C70" w:rsidRDefault="000A1714">
      <w:pPr>
        <w:spacing w:before="14" w:after="0" w:line="260" w:lineRule="exact"/>
        <w:rPr>
          <w:rFonts w:ascii="Times New Roman" w:hAnsi="Times New Roman"/>
          <w:b/>
          <w:sz w:val="24"/>
          <w:szCs w:val="24"/>
        </w:rPr>
      </w:pPr>
      <w:r>
        <w:rPr>
          <w:rFonts w:ascii="Times New Roman" w:hAnsi="Times New Roman"/>
          <w:b/>
          <w:sz w:val="24"/>
          <w:szCs w:val="24"/>
        </w:rPr>
        <w:t xml:space="preserve">3.6.1.1.1. Convergent </w:t>
      </w:r>
      <w:r>
        <w:rPr>
          <w:rFonts w:ascii="Times New Roman" w:hAnsi="Times New Roman"/>
          <w:b/>
          <w:i/>
          <w:sz w:val="24"/>
          <w:szCs w:val="24"/>
        </w:rPr>
        <w:t>Validity</w:t>
      </w:r>
    </w:p>
    <w:p w14:paraId="25EA5279"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sz w:val="24"/>
          <w:szCs w:val="24"/>
        </w:rPr>
        <w:t xml:space="preserve">The convergent validity value is </w:t>
      </w:r>
      <w:r>
        <w:rPr>
          <w:rFonts w:ascii="Times New Roman" w:hAnsi="Times New Roman"/>
          <w:i/>
          <w:sz w:val="24"/>
          <w:szCs w:val="24"/>
        </w:rPr>
        <w:t xml:space="preserve">the loading </w:t>
      </w:r>
      <w:r>
        <w:rPr>
          <w:rFonts w:ascii="Times New Roman" w:hAnsi="Times New Roman"/>
          <w:sz w:val="24"/>
          <w:szCs w:val="24"/>
        </w:rPr>
        <w:t xml:space="preserve">factor value on the latent variable with its indicators. To test the validity of each indicator on a variable, the individual reflexive measure is said to be high if it correlates &gt; 0.7 with the construct to be measured, meaning that the </w:t>
      </w:r>
      <w:r>
        <w:rPr>
          <w:rFonts w:ascii="Times New Roman" w:hAnsi="Times New Roman"/>
          <w:sz w:val="24"/>
          <w:szCs w:val="24"/>
        </w:rPr>
        <w:lastRenderedPageBreak/>
        <w:t xml:space="preserve">indicator is declared valid in measuring the construct created. For the development stage, the measurement scale for loading values &gt; 0.5 is considered sufficient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{"citationItems":[{"id":"ITEM-1","itemData":{"author":[{"dropping-particle":"","family":"Ghozali, I., &amp; Latan","given":"H","non-dropping-particle":"","parse-names":false,"suffix":""}],"container-title":"Semarang: Universitas Dipone-goro Semarang.","id":"ITEM-1","issued":{"date-parts":[["2015"]]},"title":"Partial least squares: Konsep, teknik, dan aplikasi menggunakan program smart PLS 3.0 (2nd ed.)","type":"book"},"uris":["http://www.mendeley.com/documents/?uuid=7d24aafc-ed62-44ef-b65d-b72caa7d8a78"]}],"mendeley":{"formattedCitation":"(Ghozali, I., &amp; Latan, 2015)","plainTextFormattedCitation":"(Ghozali, I., &amp; Latan, 2015)","previouslyFormattedCitation":"(Ghozali, I., &amp; Latan,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(Ghozali, I., &amp; Latan, 2015) </w:t>
      </w:r>
      <w:r>
        <w:rPr>
          <w:rFonts w:ascii="Times New Roman" w:hAnsi="Times New Roman"/>
          <w:sz w:val="24"/>
          <w:szCs w:val="24"/>
        </w:rPr>
        <w:fldChar w:fldCharType="end"/>
      </w:r>
      <w:r>
        <w:rPr>
          <w:rFonts w:ascii="Times New Roman" w:hAnsi="Times New Roman"/>
          <w:sz w:val="24"/>
          <w:szCs w:val="24"/>
        </w:rPr>
        <w:t>.</w:t>
      </w:r>
    </w:p>
    <w:p w14:paraId="296AB397" w14:textId="77777777" w:rsidR="00852C70" w:rsidRDefault="00852C70">
      <w:pPr>
        <w:spacing w:before="14" w:after="0" w:line="260" w:lineRule="exact"/>
        <w:ind w:firstLine="720"/>
        <w:jc w:val="both"/>
        <w:rPr>
          <w:rFonts w:ascii="Times New Roman" w:hAnsi="Times New Roman"/>
          <w:sz w:val="24"/>
          <w:szCs w:val="24"/>
        </w:rPr>
      </w:pPr>
    </w:p>
    <w:p w14:paraId="7D787434" w14:textId="77777777" w:rsidR="00852C70" w:rsidRDefault="000A1714">
      <w:pPr>
        <w:spacing w:before="14" w:after="0" w:line="260" w:lineRule="exact"/>
        <w:rPr>
          <w:rFonts w:ascii="Times New Roman" w:hAnsi="Times New Roman"/>
          <w:b/>
          <w:sz w:val="24"/>
          <w:szCs w:val="24"/>
        </w:rPr>
      </w:pPr>
      <w:r>
        <w:rPr>
          <w:rFonts w:ascii="Times New Roman" w:hAnsi="Times New Roman"/>
          <w:b/>
          <w:sz w:val="24"/>
          <w:szCs w:val="24"/>
        </w:rPr>
        <w:t xml:space="preserve">3.6.1.1.2. Discriminant Validity </w:t>
      </w:r>
      <w:r>
        <w:rPr>
          <w:rFonts w:ascii="Times New Roman" w:hAnsi="Times New Roman"/>
          <w:b/>
          <w:i/>
          <w:sz w:val="24"/>
          <w:szCs w:val="24"/>
        </w:rPr>
        <w:t>(Discriminant Validity)</w:t>
      </w:r>
    </w:p>
    <w:p w14:paraId="110EF29E"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sz w:val="24"/>
          <w:szCs w:val="24"/>
        </w:rPr>
        <w:t xml:space="preserve">Discriminant validity determines if two measurements that should not be correlated are truly uncorrelated. Discriminant validity compares the AVE of a particular construct with the correlation between that construct and other constructs </w:t>
      </w:r>
      <w:r>
        <w:rPr>
          <w:rFonts w:ascii="Times New Roman" w:hAnsi="Times New Roman"/>
          <w:sz w:val="24"/>
          <w:szCs w:val="24"/>
        </w:rPr>
        <w:fldChar w:fldCharType="begin"/>
      </w:r>
      <w:r>
        <w:rPr>
          <w:rFonts w:ascii="Times New Roman" w:hAnsi="Times New Roman"/>
          <w:sz w:val="24"/>
          <w:szCs w:val="24"/>
        </w:rPr>
        <w:instrText>ADDIN CSL_CITATION {"citationItems":[{"id":"ITEM-1","itemData":{"URL":"https://www.researchgate.net/post/What_is_discriminant_validity/575fac5796b7e44e830d6aee/citation/download. ","accessed":{"date-parts":[["2021","7","8"]]},"author":[{"dropping-particle":"","family":"Awang","given":"Zainudin","non-dropping-particle":"","parse-names":false,"suffix":""}],"id":"ITEM-1","issued":{"date-parts":[["2016"]]},"title":"Re: What is discriminant validity?","type":"webpage"},"uris":["http://www.mendeley.com/documents/?uuid=c3ee9aa6-c4b5-4df5-b87e-7f5285ab48dc"]}],"mendeley":{"formattedCitation":"(Awang, 2016)","plainTextFormattedCitation":"(Awang, 2016)","previouslyFormattedCitation":"(Awang,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(Awang, 2016) </w:t>
      </w:r>
      <w:r>
        <w:rPr>
          <w:rFonts w:ascii="Times New Roman" w:hAnsi="Times New Roman"/>
          <w:sz w:val="24"/>
          <w:szCs w:val="24"/>
        </w:rPr>
        <w:fldChar w:fldCharType="end"/>
      </w:r>
      <w:r>
        <w:rPr>
          <w:rFonts w:ascii="Times New Roman" w:hAnsi="Times New Roman"/>
          <w:sz w:val="24"/>
          <w:szCs w:val="24"/>
        </w:rPr>
        <w:t xml:space="preserve">. If the Average Variance Extruded (AVE) value is &gt; 0.5 then it is said to be valid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{"citationItems":[{"id":"ITEM-1","itemData":{"author":[{"dropping-particle":"","family":"Ghozali, I., &amp; Latan","given":"H","non-dropping-particle":"","parse-names":false,"suffix":""}],"container-title":"Semarang: Universitas Dipone-goro Semarang.","id":"ITEM-1","issued":{"date-parts":[["2015"]]},"title":"Partial least squares: Konsep, teknik, dan aplikasi menggunakan program smart PLS 3.0 (2nd ed.)","type":"book"},"uris":["http://www.mendeley.com/documents/?uuid=7d24aafc-ed62-44ef-b65d-b72caa7d8a78"]}],"mendeley":{"formattedCitation":"(Ghozali, I., &amp; Latan, 2015)","plainTextFormattedCitation":"(Ghozali, I., &amp; Latan, 2015)","previouslyFormattedCitation":"(Ghozali, I., &amp; Latan,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(Ghozali, I., &amp; Latan, 2015)</w:t>
      </w:r>
      <w:r>
        <w:rPr>
          <w:rFonts w:ascii="Times New Roman" w:hAnsi="Times New Roman"/>
          <w:sz w:val="24"/>
          <w:szCs w:val="24"/>
        </w:rPr>
        <w:fldChar w:fldCharType="end"/>
      </w:r>
    </w:p>
    <w:p w14:paraId="057E5777" w14:textId="77777777" w:rsidR="00852C70" w:rsidRDefault="00852C70">
      <w:pPr>
        <w:spacing w:before="14" w:after="0" w:line="260" w:lineRule="exact"/>
        <w:ind w:firstLine="720"/>
        <w:jc w:val="both"/>
        <w:rPr>
          <w:rFonts w:ascii="Times New Roman" w:hAnsi="Times New Roman"/>
          <w:sz w:val="24"/>
          <w:szCs w:val="24"/>
        </w:rPr>
      </w:pPr>
    </w:p>
    <w:p w14:paraId="7CD85409"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3.6.1.2. Reliability Test</w:t>
      </w:r>
    </w:p>
    <w:p w14:paraId="121CE591"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sz w:val="24"/>
          <w:szCs w:val="24"/>
        </w:rPr>
        <w:t xml:space="preserve">Apart from validity tests, Smart PLS also carries out reliability tests to prove the accuracy, consistency and precision of the instrument in measuring something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{"citationItems":[{"id":"ITEM-1","itemData":{"author":[{"dropping-particle":"","family":"Ghozali, I., &amp; Latan","given":"H","non-dropping-particle":"","parse-names":false,"suffix":""}],"container-title":"Semarang: Universitas Dipone-goro Semarang.","id":"ITEM-1","issued":{"date-parts":[["2015"]]},"title":"Partial least squares: Konsep, teknik, dan aplikasi menggunakan program smart PLS 3.0 (2nd ed.)","type":"book"},"uris":["http://www.mendeley.com/documents/?uuid=7d24aafc-ed62-44ef-b65d-b72caa7d8a78"]}],"mendeley":{"formattedCitation":"(Ghozali, I., &amp; Latan, 2015)","plainTextFormattedCitation":"(Ghozali, I., &amp; Latan, 2015)","previouslyFormattedCitation":"(Ghozali, I., &amp; Latan,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(Ghozali, I., &amp; Latan, 2015) </w:t>
      </w:r>
      <w:r>
        <w:rPr>
          <w:rFonts w:ascii="Times New Roman" w:hAnsi="Times New Roman"/>
          <w:sz w:val="24"/>
          <w:szCs w:val="24"/>
        </w:rPr>
        <w:fldChar w:fldCharType="end"/>
      </w:r>
      <w:r>
        <w:rPr>
          <w:rFonts w:ascii="Times New Roman" w:hAnsi="Times New Roman"/>
          <w:sz w:val="24"/>
          <w:szCs w:val="24"/>
        </w:rPr>
        <w:t xml:space="preserve">. Reliability based testing to ensure that the instrument used is a consistent, stable and </w:t>
      </w:r>
      <w:r>
        <w:rPr>
          <w:rFonts w:ascii="Times New Roman" w:hAnsi="Times New Roman"/>
          <w:i/>
          <w:sz w:val="24"/>
          <w:szCs w:val="24"/>
        </w:rPr>
        <w:t xml:space="preserve">dependable instrument </w:t>
      </w:r>
      <w:r>
        <w:rPr>
          <w:rFonts w:ascii="Times New Roman" w:hAnsi="Times New Roman"/>
          <w:sz w:val="24"/>
          <w:szCs w:val="24"/>
        </w:rPr>
        <w:t xml:space="preserve">. To measure the validity of a construct, you can use two methods, namely </w:t>
      </w:r>
      <w:r>
        <w:rPr>
          <w:rFonts w:ascii="Times New Roman" w:hAnsi="Times New Roman"/>
          <w:i/>
          <w:sz w:val="24"/>
          <w:szCs w:val="24"/>
        </w:rPr>
        <w:t xml:space="preserve">composite reliability </w:t>
      </w:r>
      <w:r>
        <w:rPr>
          <w:rFonts w:ascii="Times New Roman" w:hAnsi="Times New Roman"/>
          <w:sz w:val="24"/>
          <w:szCs w:val="24"/>
        </w:rPr>
        <w:t xml:space="preserve">and </w:t>
      </w:r>
      <w:r>
        <w:rPr>
          <w:rFonts w:ascii="Times New Roman" w:hAnsi="Times New Roman"/>
          <w:i/>
          <w:sz w:val="24"/>
          <w:szCs w:val="24"/>
        </w:rPr>
        <w:t xml:space="preserve">Cronbach's alpha </w:t>
      </w:r>
      <w:r>
        <w:rPr>
          <w:rFonts w:ascii="Times New Roman" w:hAnsi="Times New Roman"/>
          <w:sz w:val="24"/>
          <w:szCs w:val="24"/>
        </w:rPr>
        <w:t>.</w:t>
      </w:r>
    </w:p>
    <w:p w14:paraId="799FAEBC" w14:textId="77777777" w:rsidR="00852C70" w:rsidRDefault="00852C70">
      <w:pPr>
        <w:spacing w:before="14" w:after="0" w:line="260" w:lineRule="exact"/>
        <w:ind w:firstLine="720"/>
        <w:jc w:val="both"/>
        <w:rPr>
          <w:rFonts w:ascii="Times New Roman" w:hAnsi="Times New Roman"/>
          <w:sz w:val="24"/>
          <w:szCs w:val="24"/>
        </w:rPr>
      </w:pPr>
    </w:p>
    <w:p w14:paraId="7DFF51F0" w14:textId="77777777" w:rsidR="00852C70" w:rsidRDefault="000A1714">
      <w:pPr>
        <w:spacing w:before="14" w:after="0" w:line="260" w:lineRule="exact"/>
        <w:jc w:val="both"/>
        <w:rPr>
          <w:rFonts w:ascii="Times New Roman" w:hAnsi="Times New Roman"/>
          <w:b/>
          <w:i/>
          <w:sz w:val="24"/>
          <w:szCs w:val="24"/>
        </w:rPr>
      </w:pPr>
      <w:r>
        <w:rPr>
          <w:rFonts w:ascii="Times New Roman" w:hAnsi="Times New Roman"/>
          <w:b/>
          <w:sz w:val="24"/>
          <w:szCs w:val="24"/>
        </w:rPr>
        <w:t xml:space="preserve">3.6.1.2.1. </w:t>
      </w:r>
      <w:r>
        <w:rPr>
          <w:rFonts w:ascii="Times New Roman" w:hAnsi="Times New Roman"/>
          <w:b/>
          <w:i/>
          <w:sz w:val="24"/>
          <w:szCs w:val="24"/>
        </w:rPr>
        <w:t>Composite Reliability</w:t>
      </w:r>
    </w:p>
    <w:p w14:paraId="46F756E7" w14:textId="77777777" w:rsidR="00852C70" w:rsidRDefault="000A1714">
      <w:pPr>
        <w:spacing w:before="14" w:after="0" w:line="260" w:lineRule="exact"/>
        <w:jc w:val="both"/>
        <w:rPr>
          <w:rFonts w:ascii="Times New Roman" w:hAnsi="Times New Roman"/>
          <w:sz w:val="24"/>
          <w:szCs w:val="24"/>
        </w:rPr>
      </w:pPr>
      <w:r>
        <w:rPr>
          <w:rFonts w:ascii="Times New Roman" w:hAnsi="Times New Roman"/>
          <w:i/>
          <w:sz w:val="24"/>
          <w:szCs w:val="24"/>
        </w:rPr>
        <w:t xml:space="preserve">Composite Reliability </w:t>
      </w:r>
      <w:r>
        <w:rPr>
          <w:rFonts w:ascii="Times New Roman" w:hAnsi="Times New Roman"/>
          <w:sz w:val="24"/>
          <w:szCs w:val="24"/>
        </w:rPr>
        <w:t xml:space="preserve">is part of the reliability test which is used to test whether a certain variable indicator is consistent and reliable.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Ghozali","given":"Imam","non-dropping-particle":"","parse-names":false,"suffix":""},{"dropping-particle":"","family":"Latan","given":"H.","non-dropping-particle":"","parse-names":false,"suffix":""}],"container-title":"Semarang: UNDIP Publishing Agency","id":"ITEM-1","issued":{"date-parts":[["2015"]]},"title":"Partial Least Squares, concepts, techniques and applications using the Smartpls 3.0 program for empirical research","type":"article-journal"},"uris":["http://www.mendeley.com/documents/?uuid=c90424d5-266f-4e23-8935-3351b256c181"]}],"mendeley":{"formattedCitation":"(Ghozali &amp; Latan, 2015)","plainTextFormattedCitation":"(Ghozali &amp; Latan, 2015)","previouslyFormattedCitation":"(Ghozali &amp; Latan,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(Ghozali &amp; Latan, 2015) </w:t>
      </w:r>
      <w:r>
        <w:rPr>
          <w:rFonts w:ascii="Times New Roman" w:hAnsi="Times New Roman"/>
          <w:sz w:val="24"/>
          <w:szCs w:val="24"/>
        </w:rPr>
        <w:fldChar w:fldCharType="end"/>
      </w:r>
      <w:r>
        <w:rPr>
          <w:rFonts w:ascii="Times New Roman" w:hAnsi="Times New Roman"/>
          <w:sz w:val="24"/>
          <w:szCs w:val="24"/>
        </w:rPr>
        <w:t xml:space="preserve">stated that the reliability value is said to be reliable if the </w:t>
      </w:r>
      <w:r>
        <w:rPr>
          <w:rFonts w:ascii="Times New Roman" w:hAnsi="Times New Roman"/>
          <w:i/>
          <w:sz w:val="24"/>
          <w:szCs w:val="24"/>
        </w:rPr>
        <w:t xml:space="preserve">composite reliability value </w:t>
      </w:r>
      <w:r>
        <w:rPr>
          <w:rFonts w:ascii="Times New Roman" w:hAnsi="Times New Roman"/>
          <w:sz w:val="24"/>
          <w:szCs w:val="24"/>
        </w:rPr>
        <w:t xml:space="preserve">is &gt;0.7. Even so, the </w:t>
      </w:r>
      <w:r>
        <w:rPr>
          <w:rFonts w:ascii="Times New Roman" w:hAnsi="Times New Roman"/>
          <w:i/>
          <w:sz w:val="24"/>
          <w:szCs w:val="24"/>
        </w:rPr>
        <w:t xml:space="preserve">composite reliability value </w:t>
      </w:r>
      <w:r>
        <w:rPr>
          <w:rFonts w:ascii="Times New Roman" w:hAnsi="Times New Roman"/>
          <w:sz w:val="24"/>
          <w:szCs w:val="24"/>
        </w:rPr>
        <w:t>of 0.6 is still acceptable.</w:t>
      </w:r>
    </w:p>
    <w:p w14:paraId="19CDB95B" w14:textId="77777777" w:rsidR="00852C70" w:rsidRDefault="00852C70">
      <w:pPr>
        <w:spacing w:before="14" w:after="0" w:line="260" w:lineRule="exact"/>
        <w:jc w:val="both"/>
        <w:rPr>
          <w:rFonts w:ascii="Times New Roman" w:hAnsi="Times New Roman"/>
          <w:sz w:val="24"/>
          <w:szCs w:val="24"/>
        </w:rPr>
      </w:pPr>
    </w:p>
    <w:p w14:paraId="044C9EF2" w14:textId="77777777" w:rsidR="00852C70" w:rsidRDefault="000A1714">
      <w:pPr>
        <w:spacing w:before="14" w:after="0" w:line="260" w:lineRule="exact"/>
        <w:jc w:val="both"/>
        <w:rPr>
          <w:rFonts w:ascii="Times New Roman" w:hAnsi="Times New Roman"/>
          <w:i/>
          <w:sz w:val="24"/>
          <w:szCs w:val="24"/>
        </w:rPr>
      </w:pPr>
      <w:r>
        <w:rPr>
          <w:rFonts w:ascii="Times New Roman" w:hAnsi="Times New Roman"/>
          <w:b/>
          <w:sz w:val="24"/>
          <w:szCs w:val="24"/>
        </w:rPr>
        <w:t xml:space="preserve">3.6.1.2.2. </w:t>
      </w:r>
      <w:r>
        <w:rPr>
          <w:rFonts w:ascii="Times New Roman" w:hAnsi="Times New Roman"/>
          <w:b/>
          <w:i/>
          <w:sz w:val="24"/>
          <w:szCs w:val="24"/>
        </w:rPr>
        <w:t>Cronbach's Alpha</w:t>
      </w:r>
    </w:p>
    <w:p w14:paraId="0A7A56F3" w14:textId="77777777" w:rsidR="00852C70" w:rsidRDefault="000A1714">
      <w:pPr>
        <w:spacing w:before="14" w:after="0" w:line="260" w:lineRule="exact"/>
        <w:jc w:val="both"/>
        <w:rPr>
          <w:rFonts w:ascii="Times New Roman" w:hAnsi="Times New Roman"/>
          <w:sz w:val="24"/>
          <w:szCs w:val="24"/>
        </w:rPr>
      </w:pPr>
      <w:r>
        <w:rPr>
          <w:rFonts w:ascii="Times New Roman" w:hAnsi="Times New Roman"/>
          <w:i/>
          <w:sz w:val="24"/>
          <w:szCs w:val="24"/>
        </w:rPr>
        <w:t xml:space="preserve">Cronbach's Alpha </w:t>
      </w:r>
      <w:r>
        <w:rPr>
          <w:rFonts w:ascii="Times New Roman" w:hAnsi="Times New Roman"/>
          <w:sz w:val="24"/>
          <w:szCs w:val="24"/>
        </w:rPr>
        <w:t xml:space="preserve">value can strengthen </w:t>
      </w:r>
      <w:r>
        <w:rPr>
          <w:rFonts w:ascii="Times New Roman" w:hAnsi="Times New Roman"/>
          <w:i/>
          <w:sz w:val="24"/>
          <w:szCs w:val="24"/>
        </w:rPr>
        <w:t xml:space="preserve">composite reliability </w:t>
      </w:r>
      <w:r>
        <w:rPr>
          <w:rFonts w:ascii="Times New Roman" w:hAnsi="Times New Roman"/>
          <w:sz w:val="24"/>
          <w:szCs w:val="24"/>
        </w:rPr>
        <w:t xml:space="preserve">in reliability testing. The </w:t>
      </w:r>
      <w:r>
        <w:rPr>
          <w:rFonts w:ascii="Times New Roman" w:hAnsi="Times New Roman"/>
          <w:i/>
          <w:sz w:val="24"/>
          <w:szCs w:val="24"/>
        </w:rPr>
        <w:t xml:space="preserve">Cronbach's Alpha </w:t>
      </w:r>
      <w:r>
        <w:rPr>
          <w:rFonts w:ascii="Times New Roman" w:hAnsi="Times New Roman"/>
          <w:sz w:val="24"/>
          <w:szCs w:val="24"/>
        </w:rPr>
        <w:t xml:space="preserve">value achieved is &gt;0.7 so that a variable can be said to be reliable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Ghozali","given":"Imam","non-dropping-particle":"","parse-names":false,"suffix":""},{"dropping-particle":"","family":"Latan","given":"H.","non-dropping-particle":"","parse-names":false,"suffix":""}],"container-title":"Semarang: UNDIP Publishing Agency","id":"ITEM-1","issued":{"date-parts":[["2015"]]},"title":"Partial Least Squares, concepts, techniques and applications using the Smartpls 3.0 program for empirical research","type":"article-journal"},"uris":["http://www.mendeley.com/documents/?uuid=c90424d5-266f-4e23-8935-3351b256c181"]}],"mendeley":{"formattedCitation":"(Ghozali &amp; Latan, 2015)","plainTextFormattedCitation":"(Ghozali &amp; Latan, 2015)","previouslyFormattedCitation":"(Ghozali &amp; Latan,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(Ghozali &amp; Latan, 2015)</w:t>
      </w:r>
      <w:r>
        <w:rPr>
          <w:rFonts w:ascii="Times New Roman" w:hAnsi="Times New Roman"/>
          <w:sz w:val="24"/>
          <w:szCs w:val="24"/>
        </w:rPr>
        <w:fldChar w:fldCharType="end"/>
      </w:r>
    </w:p>
    <w:p w14:paraId="12666220" w14:textId="77777777" w:rsidR="00852C70" w:rsidRDefault="00852C70">
      <w:pPr>
        <w:spacing w:before="14" w:after="0" w:line="260" w:lineRule="exact"/>
        <w:jc w:val="both"/>
        <w:rPr>
          <w:rFonts w:ascii="Times New Roman" w:hAnsi="Times New Roman"/>
          <w:sz w:val="24"/>
          <w:szCs w:val="24"/>
        </w:rPr>
      </w:pPr>
    </w:p>
    <w:p w14:paraId="7CCF21CA" w14:textId="77777777" w:rsidR="00852C70" w:rsidRDefault="000A1714">
      <w:pPr>
        <w:spacing w:before="14" w:after="0" w:line="260" w:lineRule="exact"/>
        <w:jc w:val="both"/>
        <w:rPr>
          <w:rFonts w:ascii="Times New Roman" w:hAnsi="Times New Roman"/>
          <w:sz w:val="24"/>
          <w:szCs w:val="24"/>
        </w:rPr>
      </w:pPr>
      <w:r>
        <w:rPr>
          <w:rFonts w:ascii="Times New Roman" w:hAnsi="Times New Roman"/>
          <w:b/>
          <w:sz w:val="24"/>
          <w:szCs w:val="24"/>
        </w:rPr>
        <w:t>3.6.1.3. Multicollinearity Test</w:t>
      </w:r>
    </w:p>
    <w:p w14:paraId="31503D1E" w14:textId="77777777" w:rsidR="00852C70" w:rsidRDefault="000A1714">
      <w:pPr>
        <w:spacing w:before="14" w:after="0" w:line="260" w:lineRule="exact"/>
        <w:jc w:val="both"/>
        <w:rPr>
          <w:rFonts w:ascii="Times New Roman" w:hAnsi="Times New Roman"/>
          <w:sz w:val="24"/>
          <w:szCs w:val="24"/>
        </w:rPr>
      </w:pPr>
      <w:r>
        <w:rPr>
          <w:rFonts w:ascii="Times New Roman" w:hAnsi="Times New Roman"/>
          <w:sz w:val="24"/>
          <w:szCs w:val="24"/>
        </w:rPr>
        <w:t xml:space="preserve">The multicollinearity test is used to test whether in the regression model a correlation is found between the independent variables which is used to detect the presence or absence of multicollinearity. If the VIF is 3.5-5, it is stated that there is no multicollinearity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Ghozali","given":"Imam","non-dropping-particle":"","parse-names":false,"suffix":""},{"dropping-particle":"","family":"Latan","given":"H.","non-dropping-particle":"","parse-names":false,"suffix":""}],"container-title":"Semarang: UNDIP Publishing Agency","id":"ITEM-1","issued":{"date-parts":[["2015"]]},"title":"Partial Least Squares, concepts, techniques and applications using the Smartpls 3.0 program for empirical research","type":"article-journal"},"uris":["http://www.mendeley.com/documents/?uuid=c90424d5-266f-4e23-8935-3351b256c181"]}],"mendeley":{"formattedCitation":"(Ghozali &amp; Latan, 2015)","plainTextFormattedCitation":"(Ghozali &amp; Latan, 2015)","previouslyFormattedCitation":"(Ghozali &amp; Latan,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(Ghozali &amp; Latan, 2015) </w:t>
      </w:r>
      <w:r>
        <w:rPr>
          <w:rFonts w:ascii="Times New Roman" w:hAnsi="Times New Roman"/>
          <w:sz w:val="24"/>
          <w:szCs w:val="24"/>
        </w:rPr>
        <w:fldChar w:fldCharType="end"/>
      </w:r>
      <w:r>
        <w:rPr>
          <w:rFonts w:ascii="Times New Roman" w:hAnsi="Times New Roman"/>
          <w:sz w:val="24"/>
          <w:szCs w:val="24"/>
        </w:rPr>
        <w:t>. If the VIF exceeds the predetermined value, it can drastically affect the outer model testing.</w:t>
      </w:r>
    </w:p>
    <w:p w14:paraId="6E456FC1" w14:textId="77777777" w:rsidR="00852C70" w:rsidRDefault="00852C70">
      <w:pPr>
        <w:spacing w:before="14" w:after="0" w:line="260" w:lineRule="exact"/>
        <w:jc w:val="both"/>
        <w:rPr>
          <w:rFonts w:ascii="Times New Roman" w:hAnsi="Times New Roman"/>
          <w:sz w:val="24"/>
          <w:szCs w:val="24"/>
        </w:rPr>
      </w:pPr>
    </w:p>
    <w:p w14:paraId="78DD205E" w14:textId="77777777" w:rsidR="00852C70" w:rsidRDefault="000A1714">
      <w:pPr>
        <w:spacing w:after="0" w:line="260" w:lineRule="exact"/>
        <w:jc w:val="both"/>
        <w:rPr>
          <w:rFonts w:ascii="Times New Roman" w:hAnsi="Times New Roman"/>
          <w:b/>
          <w:i/>
          <w:sz w:val="24"/>
          <w:szCs w:val="24"/>
        </w:rPr>
      </w:pPr>
      <w:r>
        <w:rPr>
          <w:rFonts w:ascii="Times New Roman" w:hAnsi="Times New Roman"/>
          <w:b/>
          <w:sz w:val="24"/>
          <w:szCs w:val="24"/>
        </w:rPr>
        <w:t xml:space="preserve">3.6.2. Structural Model ( </w:t>
      </w:r>
      <w:r>
        <w:rPr>
          <w:rFonts w:ascii="Times New Roman" w:hAnsi="Times New Roman"/>
          <w:b/>
          <w:i/>
          <w:sz w:val="24"/>
          <w:szCs w:val="24"/>
        </w:rPr>
        <w:t>Inner Model)</w:t>
      </w:r>
    </w:p>
    <w:p w14:paraId="562FADA8" w14:textId="77777777" w:rsidR="00852C70" w:rsidRDefault="000A1714">
      <w:pPr>
        <w:spacing w:before="14" w:after="0" w:line="260" w:lineRule="exact"/>
        <w:jc w:val="both"/>
        <w:rPr>
          <w:rFonts w:ascii="Times New Roman" w:hAnsi="Times New Roman"/>
          <w:sz w:val="24"/>
          <w:szCs w:val="24"/>
        </w:rPr>
      </w:pPr>
      <w:r>
        <w:rPr>
          <w:rFonts w:ascii="Times New Roman" w:hAnsi="Times New Roman"/>
          <w:sz w:val="24"/>
          <w:szCs w:val="24"/>
        </w:rPr>
        <w:t xml:space="preserve">A structural model or inner model is a model that connects latent variables by predicting explanatory relationships between predetermined variables. </w:t>
      </w:r>
      <w:r>
        <w:rPr>
          <w:rFonts w:ascii="Times New Roman" w:hAnsi="Times New Roman"/>
          <w:sz w:val="24"/>
          <w:szCs w:val="24"/>
        </w:rPr>
        <w:fldChar w:fldCharType="begin"/>
      </w:r>
      <w:r>
        <w:rPr>
          <w:rFonts w:ascii="Times New Roman" w:hAnsi="Times New Roman"/>
          <w:sz w:val="24"/>
          <w:szCs w:val="24"/>
        </w:rPr>
        <w:instrText>ADDIN CSL_CITATION {"citationItems":[{"id":"ITEM-1","itemData":{"ISBN":"9786025391170","abstract":"Predicting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approach.","author":[{"dropping-particle":"","family":"Solling Hamid","given":"Rahmad","non-dropping-particle":"","parse-names":false,"suffix":""},{"dropping-particle":"","family":"M Anwar","given":"Suhardi","non-dropping-particle":"","parse-names":false,"suffix":""}],"editor":[{"dropping-particle":"","family":"Abiratno","given":"","non-dropping-particle":"","parse-names":false,"suffix":""},{"dropping-particle":"","family":"Nurdiyanti","given":"Sofa","non-dropping-particle":"","parse-names":false,"suffix":""},{"dropping-particle":"","family":"Diniati Raksanaga","given":"Annis","non-dropping-particle":"","parse-names":false,"suffix":""}],"id":"ITEM-1","issued":{"date-parts":[["2019"]]},"number-of-pages":"176","publisher-place":"Jakarta","title":"Structural Equation Modeling (SEM) berbasis varian","type":"book"},"uris":["http://www.mendeley.com/documents/?uuid=91c1a902-0803-41d4-8076-730ff3ab0ff0"]}],"mendeley":{"formattedCitation":"(Solling Hamid &amp; M Anwar, 2019)","plainTextFormattedCitation":"(Solling Hamid &amp; M Anwar, 2019)","previouslyFormattedCitation":"(Solling Hamid &amp; M Anwar,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(Solling Hamid &amp; M Anwar, 2019) </w:t>
      </w:r>
      <w:r>
        <w:rPr>
          <w:rFonts w:ascii="Times New Roman" w:hAnsi="Times New Roman"/>
          <w:sz w:val="24"/>
          <w:szCs w:val="24"/>
        </w:rPr>
        <w:fldChar w:fldCharType="end"/>
      </w:r>
      <w:r>
        <w:rPr>
          <w:rFonts w:ascii="Times New Roman" w:hAnsi="Times New Roman"/>
          <w:sz w:val="24"/>
          <w:szCs w:val="24"/>
        </w:rPr>
        <w:t>.</w:t>
      </w:r>
    </w:p>
    <w:p w14:paraId="7E25FB71" w14:textId="77777777" w:rsidR="00852C70" w:rsidRDefault="00852C70">
      <w:pPr>
        <w:spacing w:before="14" w:after="0" w:line="260" w:lineRule="exact"/>
        <w:jc w:val="both"/>
        <w:rPr>
          <w:rFonts w:ascii="Times New Roman" w:hAnsi="Times New Roman"/>
          <w:b/>
          <w:sz w:val="24"/>
          <w:szCs w:val="24"/>
        </w:rPr>
      </w:pPr>
    </w:p>
    <w:p w14:paraId="122C1018" w14:textId="77777777" w:rsidR="00852C70" w:rsidRDefault="000A1714">
      <w:pPr>
        <w:spacing w:after="0" w:line="260" w:lineRule="exact"/>
        <w:jc w:val="both"/>
        <w:rPr>
          <w:rFonts w:ascii="Times New Roman" w:hAnsi="Times New Roman"/>
          <w:b/>
          <w:sz w:val="24"/>
          <w:szCs w:val="24"/>
        </w:rPr>
      </w:pPr>
      <w:r>
        <w:rPr>
          <w:rFonts w:ascii="Times New Roman" w:hAnsi="Times New Roman"/>
          <w:b/>
          <w:sz w:val="24"/>
          <w:szCs w:val="24"/>
        </w:rPr>
        <w:t xml:space="preserve">3.6.2.1. Virtue Test ( </w:t>
      </w:r>
      <w:r>
        <w:rPr>
          <w:rFonts w:ascii="Times New Roman" w:hAnsi="Times New Roman"/>
          <w:b/>
          <w:i/>
          <w:sz w:val="24"/>
          <w:szCs w:val="24"/>
        </w:rPr>
        <w:t xml:space="preserve">Goodness of Fit </w:t>
      </w:r>
      <w:r>
        <w:rPr>
          <w:rFonts w:ascii="Times New Roman" w:hAnsi="Times New Roman"/>
          <w:b/>
          <w:sz w:val="24"/>
          <w:szCs w:val="24"/>
        </w:rPr>
        <w:t>)</w:t>
      </w:r>
    </w:p>
    <w:p w14:paraId="3F722DE1" w14:textId="77777777" w:rsidR="00852C70" w:rsidRDefault="000A1714">
      <w:pPr>
        <w:spacing w:before="14" w:after="0" w:line="260" w:lineRule="exact"/>
        <w:jc w:val="both"/>
        <w:rPr>
          <w:rFonts w:ascii="Times New Roman" w:hAnsi="Times New Roman"/>
          <w:i/>
          <w:sz w:val="24"/>
          <w:szCs w:val="24"/>
          <w:shd w:val="clear" w:color="auto" w:fill="FFFFFF"/>
        </w:rPr>
      </w:pPr>
      <w:r>
        <w:rPr>
          <w:rFonts w:ascii="Times New Roman" w:hAnsi="Times New Roman"/>
          <w:sz w:val="24"/>
          <w:szCs w:val="24"/>
          <w:shd w:val="clear" w:color="auto" w:fill="FFFFFF"/>
        </w:rPr>
        <w:t xml:space="preserve">The goodness of fit test tests whether the sample data matches the distribution of a certain population. In other words, this test explains whether the sample in the research represents the actual population. In this research there are 4 types of virtue tests, namely coefficient of determination, </w:t>
      </w:r>
      <w:r>
        <w:rPr>
          <w:rFonts w:ascii="Times New Roman" w:hAnsi="Times New Roman"/>
          <w:i/>
          <w:sz w:val="24"/>
          <w:szCs w:val="24"/>
          <w:shd w:val="clear" w:color="auto" w:fill="FFFFFF"/>
        </w:rPr>
        <w:t>Q-square predictive revelance,</w:t>
      </w: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 xml:space="preserve">Effect size test </w:t>
      </w: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normal fit index.</w:t>
      </w:r>
    </w:p>
    <w:p w14:paraId="1A56DD51" w14:textId="77777777" w:rsidR="00852C70" w:rsidRDefault="00852C70">
      <w:pPr>
        <w:spacing w:before="14" w:after="0" w:line="260" w:lineRule="exact"/>
        <w:jc w:val="both"/>
        <w:rPr>
          <w:rFonts w:ascii="Times New Roman" w:hAnsi="Times New Roman"/>
          <w:b/>
          <w:sz w:val="24"/>
          <w:szCs w:val="24"/>
        </w:rPr>
      </w:pPr>
    </w:p>
    <w:p w14:paraId="11753855"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b/>
          <w:sz w:val="24"/>
          <w:szCs w:val="24"/>
        </w:rPr>
        <w:t xml:space="preserve">3.6.2.1.1. </w:t>
      </w:r>
      <w:r>
        <w:rPr>
          <w:rFonts w:ascii="Times New Roman" w:hAnsi="Times New Roman"/>
          <w:b/>
          <w:color w:val="000000"/>
          <w:sz w:val="24"/>
          <w:szCs w:val="24"/>
        </w:rPr>
        <w:t>Coefficient of Determination</w:t>
      </w:r>
    </w:p>
    <w:p w14:paraId="58FEC86E"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color w:val="000000"/>
          <w:sz w:val="24"/>
          <w:szCs w:val="24"/>
        </w:rPr>
        <w:t>The coefficient of determination determines how much ability the independent variable has in explaining the variance of the dependent variable. The coefficient of determination is obtained from squaring the correlation coefficient (R).</w:t>
      </w:r>
    </w:p>
    <w:p w14:paraId="415BFC9A" w14:textId="77777777" w:rsidR="00852C70" w:rsidRDefault="00852C70">
      <w:pPr>
        <w:spacing w:before="14" w:after="0" w:line="260" w:lineRule="exact"/>
        <w:jc w:val="both"/>
        <w:rPr>
          <w:rFonts w:ascii="Times New Roman" w:hAnsi="Times New Roman"/>
          <w:color w:val="000000"/>
          <w:sz w:val="24"/>
          <w:szCs w:val="24"/>
        </w:rPr>
      </w:pPr>
    </w:p>
    <w:p w14:paraId="00F67538" w14:textId="77777777" w:rsidR="00852C70" w:rsidRDefault="000A1714">
      <w:pPr>
        <w:spacing w:before="14" w:after="0" w:line="260" w:lineRule="exact"/>
        <w:jc w:val="both"/>
        <w:rPr>
          <w:rFonts w:ascii="Times New Roman" w:hAnsi="Times New Roman"/>
          <w:i/>
          <w:color w:val="000000"/>
          <w:sz w:val="24"/>
          <w:szCs w:val="24"/>
        </w:rPr>
      </w:pPr>
      <w:r>
        <w:rPr>
          <w:rFonts w:ascii="Times New Roman" w:hAnsi="Times New Roman"/>
          <w:b/>
          <w:sz w:val="24"/>
          <w:szCs w:val="24"/>
        </w:rPr>
        <w:t xml:space="preserve">3.6.2.1.2. </w:t>
      </w:r>
      <w:r>
        <w:rPr>
          <w:rFonts w:ascii="Times New Roman" w:hAnsi="Times New Roman"/>
          <w:b/>
          <w:i/>
          <w:color w:val="000000"/>
          <w:sz w:val="24"/>
          <w:szCs w:val="24"/>
        </w:rPr>
        <w:t>Q-Square predictive popularity</w:t>
      </w:r>
    </w:p>
    <w:p w14:paraId="09FB8D95"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i/>
          <w:color w:val="000000"/>
          <w:sz w:val="24"/>
          <w:szCs w:val="24"/>
        </w:rPr>
        <w:t xml:space="preserve">Q-Square predictive relevance </w:t>
      </w:r>
      <w:r>
        <w:rPr>
          <w:rFonts w:ascii="Times New Roman" w:hAnsi="Times New Roman"/>
          <w:color w:val="000000"/>
          <w:sz w:val="24"/>
          <w:szCs w:val="24"/>
        </w:rPr>
        <w:t>for a construct model measures how well the observed values are generated by the model and its parameter estimates. A QSquare value &gt; 0 indicates the model has predictive relevance. The Q-Square quantity has values in the range 0 &lt; Q2 &lt; 1.</w:t>
      </w:r>
    </w:p>
    <w:p w14:paraId="1273555D" w14:textId="77777777" w:rsidR="005C4F21" w:rsidRDefault="005C4F21">
      <w:pPr>
        <w:spacing w:before="14" w:after="0" w:line="260" w:lineRule="exact"/>
        <w:jc w:val="both"/>
        <w:rPr>
          <w:rFonts w:ascii="Times New Roman" w:hAnsi="Times New Roman"/>
          <w:color w:val="000000"/>
          <w:sz w:val="24"/>
          <w:szCs w:val="24"/>
        </w:rPr>
      </w:pPr>
    </w:p>
    <w:p w14:paraId="6D9E93A8" w14:textId="77777777" w:rsidR="00852C70" w:rsidRDefault="000A1714">
      <w:pPr>
        <w:spacing w:before="14" w:after="0" w:line="260" w:lineRule="exact"/>
        <w:jc w:val="both"/>
        <w:rPr>
          <w:rFonts w:ascii="Times New Roman" w:hAnsi="Times New Roman"/>
          <w:b/>
          <w:color w:val="000000"/>
          <w:sz w:val="24"/>
          <w:szCs w:val="24"/>
        </w:rPr>
      </w:pPr>
      <w:r>
        <w:rPr>
          <w:rFonts w:ascii="Times New Roman" w:hAnsi="Times New Roman"/>
          <w:b/>
          <w:sz w:val="24"/>
          <w:szCs w:val="24"/>
        </w:rPr>
        <w:t xml:space="preserve">3.6.2.1.3. </w:t>
      </w:r>
      <w:r>
        <w:rPr>
          <w:rFonts w:ascii="Times New Roman" w:hAnsi="Times New Roman"/>
          <w:b/>
          <w:color w:val="000000"/>
          <w:sz w:val="24"/>
          <w:szCs w:val="24"/>
        </w:rPr>
        <w:t>Effect Size Test (f2)</w:t>
      </w:r>
    </w:p>
    <w:p w14:paraId="7793856F"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color w:val="000000"/>
          <w:sz w:val="24"/>
          <w:szCs w:val="24"/>
        </w:rPr>
        <w:t>Apart from assessing whether or not there is a significant relationship between variables, a researcher should also assess the magnitude of the influence between variables with Effect Size or f-square. An fsquare value of 0.02 is small, 0.15 is medium, and a value of 0.35 is large. Values less than 0.02 can be ignored or considered to have no effect.</w:t>
      </w:r>
    </w:p>
    <w:p w14:paraId="7172DD0C" w14:textId="77777777" w:rsidR="00852C70" w:rsidRDefault="00852C70">
      <w:pPr>
        <w:spacing w:before="14" w:after="0" w:line="260" w:lineRule="exact"/>
        <w:jc w:val="both"/>
        <w:rPr>
          <w:rFonts w:ascii="Times New Roman" w:hAnsi="Times New Roman"/>
          <w:color w:val="000000"/>
          <w:sz w:val="24"/>
          <w:szCs w:val="24"/>
        </w:rPr>
      </w:pPr>
    </w:p>
    <w:p w14:paraId="5E96FA96"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b/>
          <w:sz w:val="24"/>
          <w:szCs w:val="24"/>
        </w:rPr>
        <w:t xml:space="preserve">3.6.2.1.4. </w:t>
      </w:r>
      <w:r>
        <w:rPr>
          <w:rFonts w:ascii="Times New Roman" w:hAnsi="Times New Roman"/>
          <w:b/>
          <w:color w:val="000000"/>
          <w:sz w:val="24"/>
          <w:szCs w:val="24"/>
        </w:rPr>
        <w:t>Normal Fit Index (NFI)</w:t>
      </w:r>
    </w:p>
    <w:p w14:paraId="6118359D"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color w:val="000000"/>
          <w:sz w:val="24"/>
          <w:szCs w:val="24"/>
        </w:rPr>
        <w:t>One of the first fit measures proposed in the SEM literature was the Normal Fit Index (NFI) by Bentler and Bonett (1980). It calculates the Chi² value of the proposed model and compares it with a meaningful benchmark. Since the Chi² value of the proposed model itself does not provide enough information to assess model fit, NFI uses the Chi² value of the null model, as a benchmark. NFI is then defined as 1 minus the Chi² values of the proposed model divided by the Chi² values of the null model. As a result, NFI produces a value between 0 and 1. If the NFI value is &gt; 0.1 or higher then the model will be found to be good or acceptable. The closer the NFI is to 1, the better the fit. NFI values above 0.9 usually represent acceptable fit.</w:t>
      </w:r>
    </w:p>
    <w:p w14:paraId="78CDC22A" w14:textId="77777777" w:rsidR="00852C70" w:rsidRDefault="00852C70">
      <w:pPr>
        <w:spacing w:before="14" w:after="0" w:line="260" w:lineRule="exact"/>
        <w:jc w:val="both"/>
        <w:rPr>
          <w:rFonts w:ascii="Times New Roman" w:hAnsi="Times New Roman"/>
          <w:color w:val="000000"/>
          <w:sz w:val="24"/>
          <w:szCs w:val="24"/>
        </w:rPr>
      </w:pPr>
    </w:p>
    <w:p w14:paraId="089EC850"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b/>
          <w:sz w:val="24"/>
          <w:szCs w:val="24"/>
        </w:rPr>
        <w:t xml:space="preserve">3.6.2.2. </w:t>
      </w:r>
      <w:r>
        <w:rPr>
          <w:rFonts w:ascii="Times New Roman" w:hAnsi="Times New Roman"/>
          <w:b/>
          <w:color w:val="000000"/>
          <w:sz w:val="24"/>
          <w:szCs w:val="24"/>
        </w:rPr>
        <w:t>Hypothesis testing</w:t>
      </w:r>
    </w:p>
    <w:p w14:paraId="4E774CB3"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b/>
          <w:sz w:val="24"/>
          <w:szCs w:val="24"/>
        </w:rPr>
        <w:t xml:space="preserve">3.6.2.2.1. </w:t>
      </w:r>
      <w:r>
        <w:rPr>
          <w:rFonts w:ascii="Times New Roman" w:hAnsi="Times New Roman"/>
          <w:b/>
          <w:color w:val="000000"/>
          <w:sz w:val="24"/>
          <w:szCs w:val="24"/>
        </w:rPr>
        <w:t xml:space="preserve">T test ( </w:t>
      </w:r>
      <w:r>
        <w:rPr>
          <w:rFonts w:ascii="Times New Roman" w:hAnsi="Times New Roman"/>
          <w:b/>
          <w:i/>
          <w:color w:val="000000"/>
          <w:sz w:val="24"/>
          <w:szCs w:val="24"/>
        </w:rPr>
        <w:t xml:space="preserve">t-test </w:t>
      </w:r>
      <w:r>
        <w:rPr>
          <w:rFonts w:ascii="Times New Roman" w:hAnsi="Times New Roman"/>
          <w:b/>
          <w:color w:val="000000"/>
          <w:sz w:val="24"/>
          <w:szCs w:val="24"/>
        </w:rPr>
        <w:t>)</w:t>
      </w:r>
    </w:p>
    <w:p w14:paraId="51C64C3D" w14:textId="77777777" w:rsidR="00852C70" w:rsidRDefault="000A1714">
      <w:pPr>
        <w:spacing w:before="14" w:line="260" w:lineRule="exact"/>
        <w:jc w:val="both"/>
        <w:rPr>
          <w:rFonts w:ascii="Times New Roman" w:hAnsi="Times New Roman"/>
          <w:color w:val="000000"/>
          <w:sz w:val="24"/>
          <w:szCs w:val="24"/>
        </w:rPr>
      </w:pPr>
      <w:r>
        <w:rPr>
          <w:rFonts w:ascii="Times New Roman" w:hAnsi="Times New Roman"/>
          <w:color w:val="000000"/>
          <w:sz w:val="24"/>
          <w:szCs w:val="24"/>
        </w:rPr>
        <w:t xml:space="preserve">The t test aims to determine the magnitude of the influence of the independent variable on the dependent variable partially. To see the significance of the relationship between variables, </w:t>
      </w:r>
      <w:r>
        <w:rPr>
          <w:rFonts w:ascii="Times New Roman" w:hAnsi="Times New Roman"/>
          <w:i/>
          <w:color w:val="000000"/>
          <w:sz w:val="24"/>
          <w:szCs w:val="24"/>
        </w:rPr>
        <w:t xml:space="preserve">the T-test </w:t>
      </w:r>
      <w:r>
        <w:rPr>
          <w:rFonts w:ascii="Times New Roman" w:hAnsi="Times New Roman"/>
          <w:color w:val="000000"/>
          <w:sz w:val="24"/>
          <w:szCs w:val="24"/>
        </w:rPr>
        <w:t xml:space="preserve">analysis of the path coefficient ( </w:t>
      </w:r>
      <w:r>
        <w:rPr>
          <w:rFonts w:ascii="Times New Roman" w:hAnsi="Times New Roman"/>
          <w:i/>
          <w:color w:val="000000"/>
          <w:sz w:val="24"/>
          <w:szCs w:val="24"/>
        </w:rPr>
        <w:t xml:space="preserve">PathCoefficient ) </w:t>
      </w:r>
      <w:r>
        <w:rPr>
          <w:rFonts w:ascii="Times New Roman" w:hAnsi="Times New Roman"/>
          <w:color w:val="000000"/>
          <w:sz w:val="24"/>
          <w:szCs w:val="24"/>
        </w:rPr>
        <w:t xml:space="preserve">is used . The positive influence and significance level of each variable can be achieved if </w:t>
      </w:r>
      <w:r>
        <w:rPr>
          <w:rFonts w:ascii="Times New Roman" w:hAnsi="Times New Roman"/>
          <w:i/>
          <w:color w:val="000000"/>
          <w:sz w:val="24"/>
          <w:szCs w:val="24"/>
        </w:rPr>
        <w:t xml:space="preserve">the T-Statistic </w:t>
      </w:r>
      <w:r>
        <w:rPr>
          <w:rFonts w:ascii="Times New Roman" w:hAnsi="Times New Roman"/>
          <w:color w:val="000000"/>
          <w:sz w:val="24"/>
          <w:szCs w:val="24"/>
        </w:rPr>
        <w:t xml:space="preserve">&gt; 1.96. This value means that the exogenous variable has a significant influence on the endogenous variable. If </w:t>
      </w:r>
      <w:r>
        <w:rPr>
          <w:rFonts w:ascii="Times New Roman" w:hAnsi="Times New Roman"/>
          <w:i/>
          <w:color w:val="000000"/>
          <w:sz w:val="24"/>
          <w:szCs w:val="24"/>
        </w:rPr>
        <w:t xml:space="preserve">the T-Statistic </w:t>
      </w:r>
      <w:r>
        <w:rPr>
          <w:rFonts w:ascii="Times New Roman" w:hAnsi="Times New Roman"/>
          <w:color w:val="000000"/>
          <w:sz w:val="24"/>
          <w:szCs w:val="24"/>
        </w:rPr>
        <w:t>&lt; 1.96, then the exogenous variable has no significant influence on the endogenous variable.</w:t>
      </w:r>
    </w:p>
    <w:p w14:paraId="3F679880" w14:textId="77777777" w:rsidR="00852C70" w:rsidRDefault="000A1714">
      <w:pPr>
        <w:spacing w:before="14" w:after="0" w:line="260" w:lineRule="exact"/>
        <w:jc w:val="both"/>
        <w:rPr>
          <w:rFonts w:ascii="Times New Roman" w:hAnsi="Times New Roman"/>
          <w:b/>
          <w:color w:val="000000"/>
          <w:sz w:val="24"/>
          <w:szCs w:val="24"/>
        </w:rPr>
      </w:pPr>
      <w:r>
        <w:rPr>
          <w:rFonts w:ascii="Times New Roman" w:hAnsi="Times New Roman"/>
          <w:b/>
          <w:sz w:val="24"/>
          <w:szCs w:val="24"/>
        </w:rPr>
        <w:t xml:space="preserve">3.6.2.2.2. </w:t>
      </w:r>
      <w:r>
        <w:rPr>
          <w:rFonts w:ascii="Times New Roman" w:hAnsi="Times New Roman"/>
          <w:b/>
          <w:color w:val="000000"/>
          <w:sz w:val="24"/>
          <w:szCs w:val="24"/>
        </w:rPr>
        <w:t xml:space="preserve">Direct Influence ( </w:t>
      </w:r>
      <w:r>
        <w:rPr>
          <w:rFonts w:ascii="Times New Roman" w:hAnsi="Times New Roman"/>
          <w:b/>
          <w:i/>
          <w:color w:val="000000"/>
          <w:sz w:val="24"/>
          <w:szCs w:val="24"/>
        </w:rPr>
        <w:t xml:space="preserve">Direct Effect </w:t>
      </w:r>
      <w:r>
        <w:rPr>
          <w:rFonts w:ascii="Times New Roman" w:hAnsi="Times New Roman"/>
          <w:b/>
          <w:color w:val="000000"/>
          <w:sz w:val="24"/>
          <w:szCs w:val="24"/>
        </w:rPr>
        <w:t>)</w:t>
      </w:r>
    </w:p>
    <w:p w14:paraId="04524643"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i/>
          <w:color w:val="000000"/>
          <w:sz w:val="24"/>
          <w:szCs w:val="24"/>
        </w:rPr>
        <w:t xml:space="preserve">effect </w:t>
      </w:r>
      <w:r>
        <w:rPr>
          <w:rFonts w:ascii="Times New Roman" w:hAnsi="Times New Roman"/>
          <w:color w:val="000000"/>
          <w:sz w:val="24"/>
          <w:szCs w:val="24"/>
        </w:rPr>
        <w:t>analysis is carried out to test whether there is a direct influence from the hypothesis of an exogenous variable on an endogenous variable. If the value of the path coefficient (Path Coefficient) is positive, then the influence of a variable on it is in the same direction, if the value of an exogenous variable increases/rises, then the value of the endogenous variable also increases/rises. If the value of the path coefficient (Path Coefficient) is negative, then the influence of a variable on it is in the opposite direction, if the value of an exogenous variable increases/rises, then the value of the endogenous variable decreases. If the Probability/Significance (P-Value) value is &lt;0.05 (5%), then it is significant. If the P-Values value is &gt; 0.05 (5%), then it is not significant.</w:t>
      </w:r>
    </w:p>
    <w:p w14:paraId="635E310F" w14:textId="77777777" w:rsidR="00852C70" w:rsidRDefault="00852C70">
      <w:pPr>
        <w:spacing w:before="14" w:after="0" w:line="260" w:lineRule="exact"/>
        <w:jc w:val="both"/>
        <w:rPr>
          <w:rFonts w:ascii="Times New Roman" w:hAnsi="Times New Roman"/>
          <w:color w:val="000000"/>
          <w:sz w:val="24"/>
          <w:szCs w:val="24"/>
        </w:rPr>
      </w:pPr>
    </w:p>
    <w:p w14:paraId="2F8CF98C" w14:textId="77777777" w:rsidR="00852C70" w:rsidRDefault="000A1714">
      <w:pPr>
        <w:spacing w:before="14" w:after="0" w:line="260" w:lineRule="exact"/>
        <w:jc w:val="both"/>
        <w:rPr>
          <w:rFonts w:ascii="Times New Roman" w:hAnsi="Times New Roman"/>
          <w:color w:val="000000"/>
          <w:sz w:val="24"/>
          <w:szCs w:val="24"/>
        </w:rPr>
      </w:pPr>
      <w:r>
        <w:rPr>
          <w:rFonts w:ascii="Times New Roman" w:hAnsi="Times New Roman"/>
          <w:b/>
          <w:sz w:val="24"/>
          <w:szCs w:val="24"/>
        </w:rPr>
        <w:t xml:space="preserve">3.6.2.2.3. </w:t>
      </w:r>
      <w:r>
        <w:rPr>
          <w:rFonts w:ascii="Times New Roman" w:hAnsi="Times New Roman"/>
          <w:b/>
          <w:color w:val="000000"/>
          <w:sz w:val="24"/>
          <w:szCs w:val="24"/>
        </w:rPr>
        <w:t>Indirect Effect</w:t>
      </w:r>
    </w:p>
    <w:p w14:paraId="4E4E3551" w14:textId="77777777" w:rsidR="00852C70" w:rsidRDefault="000A1714">
      <w:pPr>
        <w:spacing w:before="14" w:line="260" w:lineRule="exact"/>
        <w:jc w:val="both"/>
        <w:rPr>
          <w:rFonts w:ascii="Times New Roman" w:hAnsi="Times New Roman"/>
          <w:color w:val="000000"/>
          <w:sz w:val="24"/>
          <w:szCs w:val="24"/>
        </w:rPr>
      </w:pPr>
      <w:r>
        <w:rPr>
          <w:rFonts w:ascii="Times New Roman" w:hAnsi="Times New Roman"/>
          <w:color w:val="000000"/>
          <w:sz w:val="24"/>
          <w:szCs w:val="24"/>
        </w:rPr>
        <w:t xml:space="preserve">Indirect effect analysis is useful for testing the hypothesis of the indirect influence of an influencing variable (exogenous) on the influenced variable (endogenous) which is mediated/mediated by an intervening variable (mediator variable). If the P-Values value is &lt;0.05 (5%), then it is significant, meaning that the mediator variable mediates the influence of an exogenous variable on an endogenous variable. In other words, the effect is indirect. If the P-Values value is &gt; 0.05 (5%), then it is not significant, meaning that the mediator variable does </w:t>
      </w:r>
      <w:r>
        <w:rPr>
          <w:rFonts w:ascii="Times New Roman" w:hAnsi="Times New Roman"/>
          <w:color w:val="000000"/>
          <w:sz w:val="24"/>
          <w:szCs w:val="24"/>
        </w:rPr>
        <w:lastRenderedPageBreak/>
        <w:t>not mediate the influence of an exogenous variable on an endogenous variable. In other words, the effect is direct.</w:t>
      </w:r>
    </w:p>
    <w:p w14:paraId="29604CE1" w14:textId="77777777" w:rsidR="00852C70" w:rsidRDefault="000A1714">
      <w:pPr>
        <w:widowControl w:val="0"/>
        <w:autoSpaceDE w:val="0"/>
        <w:autoSpaceDN w:val="0"/>
        <w:adjustRightInd w:val="0"/>
        <w:spacing w:before="14" w:after="0" w:line="260" w:lineRule="exact"/>
        <w:ind w:left="101"/>
        <w:rPr>
          <w:rFonts w:ascii="Times New Roman" w:hAnsi="Times New Roman"/>
          <w:sz w:val="24"/>
          <w:szCs w:val="24"/>
        </w:rPr>
      </w:pPr>
      <w:r>
        <w:rPr>
          <w:rFonts w:ascii="Times New Roman" w:hAnsi="Times New Roman"/>
          <w:b/>
          <w:bCs/>
          <w:sz w:val="24"/>
          <w:szCs w:val="24"/>
        </w:rPr>
        <w:t xml:space="preserve">4. </w:t>
      </w:r>
      <w:r>
        <w:rPr>
          <w:rFonts w:ascii="Times New Roman" w:hAnsi="Times New Roman"/>
          <w:b/>
          <w:bCs/>
          <w:spacing w:val="-2"/>
          <w:sz w:val="24"/>
          <w:szCs w:val="24"/>
        </w:rPr>
        <w:t>Analysis and Discussion Results</w:t>
      </w:r>
    </w:p>
    <w:p w14:paraId="6E720F27" w14:textId="77777777" w:rsidR="00852C70" w:rsidRDefault="000A1714">
      <w:pPr>
        <w:spacing w:before="14" w:line="260" w:lineRule="exact"/>
        <w:ind w:firstLine="360"/>
        <w:jc w:val="both"/>
        <w:rPr>
          <w:rFonts w:ascii="Times New Roman" w:hAnsi="Times New Roman"/>
          <w:sz w:val="24"/>
          <w:szCs w:val="24"/>
        </w:rPr>
      </w:pPr>
      <w:r>
        <w:rPr>
          <w:rFonts w:ascii="Times New Roman" w:hAnsi="Times New Roman"/>
          <w:bCs/>
          <w:sz w:val="24"/>
          <w:szCs w:val="24"/>
        </w:rPr>
        <w:t xml:space="preserve">Respondents are operational level managers who understand the company's operations. In the questionnaire, the researcher made sure not to publish the names of manufacturing companies that were willing to fill out the online questionnaire with the aim of maintaining company confidentiality and making respondents more objective in answering the questions. Of all the emails sent to all companies in Semarang City, there were 152 respondents who filled out the </w:t>
      </w:r>
      <w:r>
        <w:rPr>
          <w:rFonts w:ascii="Times New Roman" w:hAnsi="Times New Roman"/>
          <w:bCs/>
          <w:i/>
          <w:sz w:val="24"/>
          <w:szCs w:val="24"/>
        </w:rPr>
        <w:t xml:space="preserve">Google Form questionnaire </w:t>
      </w:r>
      <w:r>
        <w:rPr>
          <w:rFonts w:ascii="Times New Roman" w:hAnsi="Times New Roman"/>
          <w:bCs/>
          <w:sz w:val="24"/>
          <w:szCs w:val="24"/>
        </w:rPr>
        <w:t xml:space="preserve">. When conducting validity and reliability tests, </w:t>
      </w:r>
      <w:r>
        <w:rPr>
          <w:rFonts w:ascii="Times New Roman" w:hAnsi="Times New Roman"/>
          <w:sz w:val="24"/>
          <w:szCs w:val="24"/>
        </w:rPr>
        <w:t>the results showed that there were several question items that were not valid and reliable. Sample reduction was carried out until validity and reliability were achieved in accordance with the requirements. To achieve this, the sample was reduced from 152 samples to 100 samples.</w:t>
      </w:r>
    </w:p>
    <w:p w14:paraId="28BC4CF2"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4.1. Demographic Description</w:t>
      </w:r>
    </w:p>
    <w:p w14:paraId="5AE0AA77"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In this research, respondents came from 100 medium and large scale manufacturing companies in Semarang City, Central Java Province. In the previous section, it was explained that there are 24 categories of business fields according to a survey conducted by Central Java Province BPS on medium and large scale manufacturing companies. In this study, respondents who filled out the questionnaire came from manufacturing companies with 19 different business categories. Details of business field categories from the 100 samples are summarized in Figure 4.1.</w:t>
      </w:r>
    </w:p>
    <w:p w14:paraId="77F88D2A" w14:textId="77777777" w:rsidR="00852C70" w:rsidRDefault="00852C70">
      <w:pPr>
        <w:tabs>
          <w:tab w:val="left" w:pos="1470"/>
        </w:tabs>
        <w:rPr>
          <w:rFonts w:ascii="Times New Roman" w:hAnsi="Times New Roman"/>
          <w:sz w:val="24"/>
          <w:szCs w:val="24"/>
        </w:rPr>
      </w:pPr>
    </w:p>
    <w:p w14:paraId="154C80B7" w14:textId="77777777" w:rsidR="00852C70" w:rsidRDefault="000A1714">
      <w:pPr>
        <w:spacing w:line="240" w:lineRule="auto"/>
        <w:jc w:val="center"/>
        <w:rPr>
          <w:rFonts w:ascii="Times New Roman" w:hAnsi="Times New Roman"/>
          <w:sz w:val="24"/>
          <w:szCs w:val="24"/>
        </w:rPr>
      </w:pPr>
      <w:r>
        <w:rPr>
          <w:noProof/>
        </w:rPr>
        <w:drawing>
          <wp:inline distT="0" distB="0" distL="0" distR="0" wp14:anchorId="025C6FC0" wp14:editId="2F37CDBA">
            <wp:extent cx="3866515" cy="2703830"/>
            <wp:effectExtent l="0" t="0" r="0" b="0"/>
            <wp:docPr id="104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Chart 1"/>
                    <pic:cNvPicPr/>
                  </pic:nvPicPr>
                  <pic:blipFill>
                    <a:blip r:embed="rId12" cstate="print"/>
                    <a:srcRect/>
                    <a:stretch/>
                  </pic:blipFill>
                  <pic:spPr>
                    <a:xfrm>
                      <a:off x="0" y="0"/>
                      <a:ext cx="3866515" cy="2703830"/>
                    </a:xfrm>
                    <a:prstGeom prst="rect">
                      <a:avLst/>
                    </a:prstGeom>
                    <a:ln>
                      <a:noFill/>
                    </a:ln>
                  </pic:spPr>
                </pic:pic>
              </a:graphicData>
            </a:graphic>
          </wp:inline>
        </w:drawing>
      </w:r>
    </w:p>
    <w:p w14:paraId="32F2BB15" w14:textId="77777777" w:rsidR="00852C70" w:rsidRDefault="000A1714">
      <w:pPr>
        <w:spacing w:line="240" w:lineRule="auto"/>
        <w:jc w:val="center"/>
        <w:rPr>
          <w:rFonts w:ascii="Times New Roman" w:hAnsi="Times New Roman"/>
          <w:sz w:val="24"/>
          <w:szCs w:val="24"/>
        </w:rPr>
      </w:pPr>
      <w:r>
        <w:rPr>
          <w:rFonts w:ascii="Times New Roman" w:hAnsi="Times New Roman"/>
          <w:b/>
          <w:sz w:val="24"/>
          <w:szCs w:val="24"/>
        </w:rPr>
        <w:t>Figure 4.1. Respondent's Business Field Category</w:t>
      </w:r>
    </w:p>
    <w:p w14:paraId="24FFDCDD" w14:textId="77777777" w:rsidR="00852C70" w:rsidRDefault="00852C70" w:rsidP="005C4F21">
      <w:pPr>
        <w:spacing w:line="240" w:lineRule="auto"/>
        <w:rPr>
          <w:rFonts w:ascii="Times New Roman" w:hAnsi="Times New Roman"/>
          <w:sz w:val="24"/>
          <w:szCs w:val="24"/>
        </w:rPr>
      </w:pPr>
    </w:p>
    <w:p w14:paraId="06C8C1A9"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4.2. Data analysis</w:t>
      </w:r>
    </w:p>
    <w:p w14:paraId="5EBA2CC9"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4.2.1. Partial Least Square (PLS) Model Scheme</w:t>
      </w:r>
    </w:p>
    <w:p w14:paraId="2755044C" w14:textId="77777777" w:rsidR="00852C70" w:rsidRDefault="000A1714">
      <w:pPr>
        <w:spacing w:before="14" w:after="0" w:line="260" w:lineRule="exact"/>
        <w:jc w:val="both"/>
        <w:rPr>
          <w:rFonts w:ascii="Times New Roman" w:hAnsi="Times New Roman"/>
          <w:noProof/>
          <w:sz w:val="24"/>
          <w:szCs w:val="24"/>
        </w:rPr>
      </w:pPr>
      <w:r>
        <w:rPr>
          <w:rFonts w:ascii="Times New Roman" w:hAnsi="Times New Roman"/>
          <w:sz w:val="24"/>
          <w:szCs w:val="24"/>
        </w:rPr>
        <w:t xml:space="preserve">In this research, hypothesis testing uses the Partial Least Square (PLS) analysis technique with the smartPLS program. The proposed model scheme is seen after the model has undergone outer model testing. Scheme can </w:t>
      </w:r>
      <w:proofErr w:type="spellStart"/>
      <w:r>
        <w:rPr>
          <w:rFonts w:ascii="Times New Roman" w:hAnsi="Times New Roman"/>
          <w:sz w:val="24"/>
          <w:szCs w:val="24"/>
        </w:rPr>
        <w:t>seen</w:t>
      </w:r>
      <w:proofErr w:type="spellEnd"/>
      <w:r>
        <w:rPr>
          <w:rFonts w:ascii="Times New Roman" w:hAnsi="Times New Roman"/>
          <w:sz w:val="24"/>
          <w:szCs w:val="24"/>
        </w:rPr>
        <w:t xml:space="preserve"> in figure 4.2.</w:t>
      </w:r>
      <w:r>
        <w:rPr>
          <w:rFonts w:ascii="Times New Roman" w:hAnsi="Times New Roman"/>
          <w:noProof/>
          <w:sz w:val="24"/>
          <w:szCs w:val="24"/>
        </w:rPr>
        <w:t xml:space="preserve"> </w:t>
      </w:r>
    </w:p>
    <w:p w14:paraId="039292F5" w14:textId="77777777" w:rsidR="00852C70" w:rsidRDefault="000A1714">
      <w:pPr>
        <w:spacing w:after="0" w:line="240" w:lineRule="auto"/>
        <w:jc w:val="both"/>
        <w:rPr>
          <w:rFonts w:ascii="Times New Roman" w:hAnsi="Times New Roman"/>
          <w:b/>
          <w:sz w:val="24"/>
          <w:szCs w:val="24"/>
        </w:rPr>
      </w:pPr>
      <w:r>
        <w:rPr>
          <w:noProof/>
        </w:rPr>
        <w:lastRenderedPageBreak/>
        <w:drawing>
          <wp:anchor distT="0" distB="0" distL="114300" distR="114300" simplePos="0" relativeHeight="13" behindDoc="0" locked="0" layoutInCell="1" allowOverlap="1" wp14:anchorId="0ADC1C29" wp14:editId="3931153B">
            <wp:simplePos x="0" y="0"/>
            <wp:positionH relativeFrom="margin">
              <wp:posOffset>374015</wp:posOffset>
            </wp:positionH>
            <wp:positionV relativeFrom="paragraph">
              <wp:posOffset>127000</wp:posOffset>
            </wp:positionV>
            <wp:extent cx="5432425" cy="4844415"/>
            <wp:effectExtent l="0" t="0" r="0" b="0"/>
            <wp:wrapSquare wrapText="bothSides"/>
            <wp:docPr id="10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srcRect l="13301"/>
                    <a:stretch/>
                  </pic:blipFill>
                  <pic:spPr>
                    <a:xfrm>
                      <a:off x="0" y="0"/>
                      <a:ext cx="5432425" cy="4844415"/>
                    </a:xfrm>
                    <a:prstGeom prst="rect">
                      <a:avLst/>
                    </a:prstGeom>
                    <a:ln>
                      <a:noFill/>
                    </a:ln>
                  </pic:spPr>
                </pic:pic>
              </a:graphicData>
            </a:graphic>
            <wp14:sizeRelH relativeFrom="margin">
              <wp14:pctWidth>0</wp14:pctWidth>
            </wp14:sizeRelH>
            <wp14:sizeRelV relativeFrom="margin">
              <wp14:pctHeight>0</wp14:pctHeight>
            </wp14:sizeRelV>
          </wp:anchor>
        </w:drawing>
      </w:r>
    </w:p>
    <w:p w14:paraId="291C6F16" w14:textId="77777777" w:rsidR="00852C70" w:rsidRDefault="00852C70">
      <w:pPr>
        <w:spacing w:after="0" w:line="240" w:lineRule="auto"/>
        <w:jc w:val="both"/>
        <w:rPr>
          <w:rFonts w:ascii="Times New Roman" w:hAnsi="Times New Roman"/>
          <w:b/>
          <w:sz w:val="24"/>
          <w:szCs w:val="24"/>
        </w:rPr>
      </w:pPr>
    </w:p>
    <w:p w14:paraId="42DE6DAB" w14:textId="77777777" w:rsidR="00852C70" w:rsidRDefault="00852C70">
      <w:pPr>
        <w:spacing w:before="240" w:after="0" w:line="240" w:lineRule="auto"/>
        <w:jc w:val="center"/>
        <w:rPr>
          <w:rFonts w:ascii="Times New Roman" w:hAnsi="Times New Roman"/>
          <w:b/>
          <w:sz w:val="24"/>
          <w:szCs w:val="24"/>
        </w:rPr>
      </w:pPr>
    </w:p>
    <w:p w14:paraId="6A220851" w14:textId="77777777" w:rsidR="00852C70" w:rsidRDefault="00852C70">
      <w:pPr>
        <w:spacing w:before="240" w:after="0" w:line="240" w:lineRule="auto"/>
        <w:jc w:val="center"/>
        <w:rPr>
          <w:rFonts w:ascii="Times New Roman" w:hAnsi="Times New Roman"/>
          <w:b/>
          <w:sz w:val="24"/>
          <w:szCs w:val="24"/>
        </w:rPr>
      </w:pPr>
    </w:p>
    <w:p w14:paraId="36A60B67" w14:textId="77777777" w:rsidR="00852C70" w:rsidRDefault="00852C70">
      <w:pPr>
        <w:spacing w:before="240" w:after="0" w:line="240" w:lineRule="auto"/>
        <w:jc w:val="center"/>
        <w:rPr>
          <w:rFonts w:ascii="Times New Roman" w:hAnsi="Times New Roman"/>
          <w:b/>
          <w:sz w:val="24"/>
          <w:szCs w:val="24"/>
        </w:rPr>
      </w:pPr>
    </w:p>
    <w:p w14:paraId="1B10518D" w14:textId="77777777" w:rsidR="00852C70" w:rsidRDefault="00852C70">
      <w:pPr>
        <w:spacing w:before="240" w:after="0" w:line="240" w:lineRule="auto"/>
        <w:jc w:val="center"/>
        <w:rPr>
          <w:rFonts w:ascii="Times New Roman" w:hAnsi="Times New Roman"/>
          <w:b/>
          <w:sz w:val="24"/>
          <w:szCs w:val="24"/>
        </w:rPr>
      </w:pPr>
    </w:p>
    <w:p w14:paraId="5C154D9C" w14:textId="77777777" w:rsidR="00852C70" w:rsidRDefault="00852C70">
      <w:pPr>
        <w:spacing w:before="240" w:after="0" w:line="240" w:lineRule="auto"/>
        <w:jc w:val="center"/>
        <w:rPr>
          <w:rFonts w:ascii="Times New Roman" w:hAnsi="Times New Roman"/>
          <w:b/>
          <w:sz w:val="24"/>
          <w:szCs w:val="24"/>
        </w:rPr>
      </w:pPr>
    </w:p>
    <w:p w14:paraId="384F4D23" w14:textId="77777777" w:rsidR="00852C70" w:rsidRDefault="00852C70">
      <w:pPr>
        <w:spacing w:before="240" w:after="0" w:line="240" w:lineRule="auto"/>
        <w:jc w:val="center"/>
        <w:rPr>
          <w:rFonts w:ascii="Times New Roman" w:hAnsi="Times New Roman"/>
          <w:b/>
          <w:sz w:val="24"/>
          <w:szCs w:val="24"/>
        </w:rPr>
      </w:pPr>
    </w:p>
    <w:p w14:paraId="554F0E08" w14:textId="77777777" w:rsidR="00852C70" w:rsidRDefault="00852C70">
      <w:pPr>
        <w:spacing w:before="240" w:after="0" w:line="240" w:lineRule="auto"/>
        <w:jc w:val="center"/>
        <w:rPr>
          <w:rFonts w:ascii="Times New Roman" w:hAnsi="Times New Roman"/>
          <w:b/>
          <w:sz w:val="24"/>
          <w:szCs w:val="24"/>
        </w:rPr>
      </w:pPr>
    </w:p>
    <w:p w14:paraId="54DA2C56" w14:textId="77777777" w:rsidR="00852C70" w:rsidRDefault="00852C70">
      <w:pPr>
        <w:spacing w:before="240" w:after="0" w:line="240" w:lineRule="auto"/>
        <w:jc w:val="center"/>
        <w:rPr>
          <w:rFonts w:ascii="Times New Roman" w:hAnsi="Times New Roman"/>
          <w:b/>
          <w:sz w:val="24"/>
          <w:szCs w:val="24"/>
        </w:rPr>
      </w:pPr>
    </w:p>
    <w:p w14:paraId="50E3BA81" w14:textId="77777777" w:rsidR="00852C70" w:rsidRDefault="00852C70">
      <w:pPr>
        <w:spacing w:before="240" w:after="0" w:line="240" w:lineRule="auto"/>
        <w:jc w:val="center"/>
        <w:rPr>
          <w:rFonts w:ascii="Times New Roman" w:hAnsi="Times New Roman"/>
          <w:b/>
          <w:sz w:val="24"/>
          <w:szCs w:val="24"/>
        </w:rPr>
      </w:pPr>
    </w:p>
    <w:p w14:paraId="4B76C9D8" w14:textId="77777777" w:rsidR="00852C70" w:rsidRDefault="00852C70">
      <w:pPr>
        <w:spacing w:before="240" w:after="0" w:line="240" w:lineRule="auto"/>
        <w:jc w:val="center"/>
        <w:rPr>
          <w:rFonts w:ascii="Times New Roman" w:hAnsi="Times New Roman"/>
          <w:b/>
          <w:sz w:val="24"/>
          <w:szCs w:val="24"/>
        </w:rPr>
      </w:pPr>
    </w:p>
    <w:p w14:paraId="272A3B49" w14:textId="77777777" w:rsidR="00852C70" w:rsidRDefault="00852C70">
      <w:pPr>
        <w:spacing w:before="240" w:after="0" w:line="240" w:lineRule="auto"/>
        <w:jc w:val="center"/>
        <w:rPr>
          <w:rFonts w:ascii="Times New Roman" w:hAnsi="Times New Roman"/>
          <w:b/>
          <w:sz w:val="24"/>
          <w:szCs w:val="24"/>
        </w:rPr>
      </w:pPr>
    </w:p>
    <w:p w14:paraId="1A3134DE" w14:textId="77777777" w:rsidR="00852C70" w:rsidRDefault="00852C70">
      <w:pPr>
        <w:spacing w:before="240" w:after="0" w:line="240" w:lineRule="auto"/>
        <w:jc w:val="center"/>
        <w:rPr>
          <w:rFonts w:ascii="Times New Roman" w:hAnsi="Times New Roman"/>
          <w:b/>
          <w:sz w:val="24"/>
          <w:szCs w:val="24"/>
        </w:rPr>
      </w:pPr>
    </w:p>
    <w:p w14:paraId="6CC5D7DA" w14:textId="77777777" w:rsidR="00852C70" w:rsidRDefault="00852C70">
      <w:pPr>
        <w:spacing w:before="240" w:after="0" w:line="240" w:lineRule="auto"/>
        <w:jc w:val="center"/>
        <w:rPr>
          <w:rFonts w:ascii="Times New Roman" w:hAnsi="Times New Roman"/>
          <w:b/>
          <w:sz w:val="24"/>
          <w:szCs w:val="24"/>
        </w:rPr>
      </w:pPr>
    </w:p>
    <w:p w14:paraId="7CF6B0AA" w14:textId="77777777" w:rsidR="00852C70" w:rsidRDefault="00852C70">
      <w:pPr>
        <w:spacing w:before="240" w:after="0" w:line="240" w:lineRule="auto"/>
        <w:jc w:val="center"/>
        <w:rPr>
          <w:rFonts w:ascii="Times New Roman" w:hAnsi="Times New Roman"/>
          <w:b/>
          <w:sz w:val="24"/>
          <w:szCs w:val="24"/>
        </w:rPr>
      </w:pPr>
    </w:p>
    <w:p w14:paraId="1EE46E4F" w14:textId="77777777" w:rsidR="00852C70" w:rsidRDefault="00852C70">
      <w:pPr>
        <w:spacing w:before="240" w:after="0" w:line="240" w:lineRule="auto"/>
        <w:jc w:val="center"/>
        <w:rPr>
          <w:rFonts w:ascii="Times New Roman" w:hAnsi="Times New Roman"/>
          <w:b/>
          <w:sz w:val="24"/>
          <w:szCs w:val="24"/>
        </w:rPr>
      </w:pPr>
    </w:p>
    <w:p w14:paraId="3C688C9D" w14:textId="77777777" w:rsidR="00852C70" w:rsidRDefault="000A1714">
      <w:pPr>
        <w:spacing w:before="240" w:after="0" w:line="240" w:lineRule="auto"/>
        <w:jc w:val="center"/>
        <w:rPr>
          <w:rFonts w:ascii="Times New Roman" w:hAnsi="Times New Roman"/>
          <w:b/>
          <w:sz w:val="24"/>
          <w:szCs w:val="24"/>
        </w:rPr>
      </w:pPr>
      <w:r>
        <w:rPr>
          <w:rFonts w:ascii="Times New Roman" w:hAnsi="Times New Roman"/>
          <w:b/>
          <w:sz w:val="24"/>
          <w:szCs w:val="24"/>
        </w:rPr>
        <w:t xml:space="preserve">Figure 4.2. </w:t>
      </w:r>
      <w:r>
        <w:rPr>
          <w:rFonts w:ascii="Times New Roman" w:hAnsi="Times New Roman"/>
          <w:b/>
          <w:i/>
          <w:sz w:val="24"/>
          <w:szCs w:val="24"/>
        </w:rPr>
        <w:t>Outer Model</w:t>
      </w:r>
    </w:p>
    <w:p w14:paraId="11E73A8E" w14:textId="77777777" w:rsidR="00852C70" w:rsidRDefault="00852C70">
      <w:pPr>
        <w:spacing w:before="14" w:after="0" w:line="260" w:lineRule="exact"/>
        <w:jc w:val="both"/>
        <w:rPr>
          <w:rFonts w:ascii="Times New Roman" w:hAnsi="Times New Roman"/>
          <w:b/>
          <w:sz w:val="24"/>
          <w:szCs w:val="24"/>
        </w:rPr>
      </w:pPr>
    </w:p>
    <w:p w14:paraId="6EBE130E" w14:textId="77777777" w:rsidR="00852C70" w:rsidRDefault="000A1714">
      <w:pPr>
        <w:spacing w:before="14" w:after="0" w:line="260" w:lineRule="exact"/>
        <w:jc w:val="both"/>
        <w:rPr>
          <w:rFonts w:ascii="Times New Roman" w:hAnsi="Times New Roman"/>
          <w:b/>
          <w:i/>
          <w:sz w:val="24"/>
          <w:szCs w:val="24"/>
        </w:rPr>
      </w:pPr>
      <w:r>
        <w:rPr>
          <w:rFonts w:ascii="Times New Roman" w:hAnsi="Times New Roman"/>
          <w:b/>
          <w:sz w:val="24"/>
          <w:szCs w:val="24"/>
        </w:rPr>
        <w:t xml:space="preserve">4.2.2. Evaluation of Model Measurements ( </w:t>
      </w:r>
      <w:r>
        <w:rPr>
          <w:rFonts w:ascii="Times New Roman" w:hAnsi="Times New Roman"/>
          <w:b/>
          <w:i/>
          <w:sz w:val="24"/>
          <w:szCs w:val="24"/>
        </w:rPr>
        <w:t>Outer Model)</w:t>
      </w:r>
    </w:p>
    <w:p w14:paraId="0CEDE624" w14:textId="77777777" w:rsidR="00852C70" w:rsidRDefault="000A1714">
      <w:pPr>
        <w:spacing w:before="14" w:after="0" w:line="260" w:lineRule="exact"/>
        <w:ind w:firstLine="720"/>
        <w:jc w:val="both"/>
        <w:rPr>
          <w:rFonts w:ascii="Times New Roman" w:hAnsi="Times New Roman"/>
          <w:b/>
          <w:sz w:val="24"/>
          <w:szCs w:val="24"/>
        </w:rPr>
      </w:pPr>
      <w:r>
        <w:rPr>
          <w:rFonts w:ascii="Times New Roman" w:hAnsi="Times New Roman"/>
          <w:i/>
          <w:sz w:val="24"/>
          <w:szCs w:val="24"/>
        </w:rPr>
        <w:t xml:space="preserve">The outer model </w:t>
      </w:r>
      <w:r>
        <w:rPr>
          <w:rFonts w:ascii="Times New Roman" w:hAnsi="Times New Roman"/>
          <w:sz w:val="24"/>
          <w:szCs w:val="24"/>
        </w:rPr>
        <w:t xml:space="preserve">shows how the variables are manifest or </w:t>
      </w:r>
      <w:r>
        <w:rPr>
          <w:rFonts w:ascii="Times New Roman" w:hAnsi="Times New Roman"/>
          <w:i/>
          <w:sz w:val="24"/>
          <w:szCs w:val="24"/>
        </w:rPr>
        <w:t>observed</w:t>
      </w:r>
      <w:r>
        <w:rPr>
          <w:rFonts w:ascii="Times New Roman" w:hAnsi="Times New Roman"/>
          <w:sz w:val="24"/>
          <w:szCs w:val="24"/>
        </w:rPr>
        <w:t xml:space="preserve"> </w:t>
      </w:r>
      <w:r>
        <w:rPr>
          <w:rFonts w:ascii="Times New Roman" w:hAnsi="Times New Roman"/>
          <w:i/>
          <w:sz w:val="24"/>
          <w:szCs w:val="24"/>
        </w:rPr>
        <w:t xml:space="preserve">variable </w:t>
      </w:r>
      <w:r>
        <w:rPr>
          <w:rFonts w:ascii="Times New Roman" w:hAnsi="Times New Roman"/>
          <w:sz w:val="24"/>
          <w:szCs w:val="24"/>
        </w:rPr>
        <w:t>represents the latent variable to be measured. In this model analysis, it specifies the relationship between latent variables and their indicators.</w:t>
      </w:r>
    </w:p>
    <w:p w14:paraId="1DA2B5D7" w14:textId="77777777" w:rsidR="00852C70" w:rsidRDefault="00852C70">
      <w:pPr>
        <w:spacing w:before="14" w:after="0" w:line="260" w:lineRule="exact"/>
        <w:jc w:val="both"/>
        <w:rPr>
          <w:rFonts w:ascii="Times New Roman" w:hAnsi="Times New Roman"/>
          <w:b/>
          <w:sz w:val="24"/>
          <w:szCs w:val="24"/>
        </w:rPr>
      </w:pPr>
    </w:p>
    <w:p w14:paraId="0626CCE1"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4.2.2.1 Validity Test Analysis</w:t>
      </w:r>
    </w:p>
    <w:p w14:paraId="198E8A10" w14:textId="77777777" w:rsidR="00852C70" w:rsidRDefault="000A1714">
      <w:pPr>
        <w:spacing w:before="14" w:after="0" w:line="260" w:lineRule="exact"/>
        <w:ind w:firstLine="720"/>
        <w:jc w:val="both"/>
        <w:rPr>
          <w:rFonts w:ascii="Times New Roman" w:hAnsi="Times New Roman"/>
          <w:i/>
          <w:sz w:val="24"/>
          <w:szCs w:val="24"/>
        </w:rPr>
      </w:pPr>
      <w:r>
        <w:rPr>
          <w:rFonts w:ascii="Times New Roman" w:hAnsi="Times New Roman"/>
          <w:sz w:val="24"/>
          <w:szCs w:val="24"/>
        </w:rPr>
        <w:t xml:space="preserve">In conducting research, this test is a measurement of whether each question presented in the form of a questionnaire is able to represent the variables studied. When using Smart PLS, validity measurements are carried out in 2 ways and the results of the analysis that have been carried out are </w:t>
      </w:r>
      <w:r>
        <w:rPr>
          <w:rFonts w:ascii="Times New Roman" w:hAnsi="Times New Roman"/>
          <w:i/>
          <w:sz w:val="24"/>
          <w:szCs w:val="24"/>
        </w:rPr>
        <w:t xml:space="preserve">convergent validity </w:t>
      </w:r>
      <w:r>
        <w:rPr>
          <w:rFonts w:ascii="Times New Roman" w:hAnsi="Times New Roman"/>
          <w:sz w:val="24"/>
          <w:szCs w:val="24"/>
        </w:rPr>
        <w:t xml:space="preserve">and </w:t>
      </w:r>
      <w:r>
        <w:rPr>
          <w:rFonts w:ascii="Times New Roman" w:hAnsi="Times New Roman"/>
          <w:i/>
          <w:sz w:val="24"/>
          <w:szCs w:val="24"/>
        </w:rPr>
        <w:t>discriminant validity.</w:t>
      </w:r>
    </w:p>
    <w:p w14:paraId="0C5355BE" w14:textId="77777777" w:rsidR="00852C70" w:rsidRDefault="00852C70">
      <w:pPr>
        <w:spacing w:before="14" w:after="0" w:line="260" w:lineRule="exact"/>
        <w:ind w:firstLine="720"/>
        <w:jc w:val="both"/>
        <w:rPr>
          <w:rFonts w:ascii="Times New Roman" w:hAnsi="Times New Roman"/>
          <w:b/>
          <w:sz w:val="24"/>
          <w:szCs w:val="24"/>
        </w:rPr>
      </w:pPr>
    </w:p>
    <w:p w14:paraId="740D09E6"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 xml:space="preserve">4.2.2.1.1. </w:t>
      </w:r>
      <w:r>
        <w:rPr>
          <w:rFonts w:ascii="Times New Roman" w:hAnsi="Times New Roman"/>
          <w:b/>
          <w:i/>
          <w:sz w:val="24"/>
          <w:szCs w:val="24"/>
        </w:rPr>
        <w:t>Convergent Validity</w:t>
      </w:r>
    </w:p>
    <w:p w14:paraId="3341BF61"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sz w:val="24"/>
          <w:szCs w:val="24"/>
        </w:rPr>
        <w:t xml:space="preserve">In assessing each construct, the construct assessment is seen from convergent validity. Convergent Validity is measured using outer loading and AVE ( </w:t>
      </w:r>
      <w:r>
        <w:rPr>
          <w:rFonts w:ascii="Times New Roman" w:hAnsi="Times New Roman"/>
          <w:i/>
          <w:sz w:val="24"/>
          <w:szCs w:val="24"/>
        </w:rPr>
        <w:t xml:space="preserve">Average Variance Extracted </w:t>
      </w:r>
      <w:r>
        <w:rPr>
          <w:rFonts w:ascii="Times New Roman" w:hAnsi="Times New Roman"/>
          <w:sz w:val="24"/>
          <w:szCs w:val="24"/>
        </w:rPr>
        <w:t xml:space="preserve">) parameters. An individual reflexive measure is said to be correlated if the value is more than 0.7 with the construct to be measured. However, for research in the early stages of development, </w:t>
      </w:r>
      <w:r>
        <w:rPr>
          <w:rFonts w:ascii="Times New Roman" w:hAnsi="Times New Roman"/>
          <w:sz w:val="24"/>
          <w:szCs w:val="24"/>
        </w:rPr>
        <w:lastRenderedPageBreak/>
        <w:t>a measurement scale with a loading factor value of 0.5 to 0.6 is considered sufficient (Ghozali and Latan, 2015). After passing one test, there was one question item from the KO construct that did not have a value of &gt;0.6 with a value of 0.094, namely question item KO5. Therefore, item KO5 was removed because it did not meet the requirements.</w:t>
      </w:r>
    </w:p>
    <w:p w14:paraId="7C57CBC5" w14:textId="77777777" w:rsidR="00852C70" w:rsidRDefault="00852C70">
      <w:pPr>
        <w:spacing w:before="14" w:after="0" w:line="260" w:lineRule="exact"/>
        <w:ind w:firstLine="720"/>
        <w:jc w:val="center"/>
        <w:rPr>
          <w:rFonts w:ascii="Times New Roman" w:hAnsi="Times New Roman"/>
          <w:b/>
          <w:sz w:val="24"/>
          <w:szCs w:val="24"/>
        </w:rPr>
      </w:pPr>
    </w:p>
    <w:p w14:paraId="4F31351C" w14:textId="77777777" w:rsidR="00852C70" w:rsidRDefault="000A1714">
      <w:pPr>
        <w:spacing w:before="14" w:after="0" w:line="260" w:lineRule="exact"/>
        <w:ind w:firstLine="720"/>
        <w:jc w:val="center"/>
        <w:rPr>
          <w:rFonts w:ascii="Times New Roman" w:hAnsi="Times New Roman"/>
          <w:sz w:val="24"/>
          <w:szCs w:val="24"/>
        </w:rPr>
      </w:pPr>
      <w:r>
        <w:rPr>
          <w:rFonts w:ascii="Times New Roman" w:hAnsi="Times New Roman"/>
          <w:b/>
          <w:sz w:val="24"/>
          <w:szCs w:val="24"/>
        </w:rPr>
        <w:t xml:space="preserve">Table 4.1 </w:t>
      </w:r>
      <w:r>
        <w:rPr>
          <w:rFonts w:ascii="Times New Roman" w:hAnsi="Times New Roman"/>
          <w:sz w:val="24"/>
          <w:szCs w:val="24"/>
        </w:rPr>
        <w:t>. Deleted question item</w:t>
      </w:r>
    </w:p>
    <w:tbl>
      <w:tblPr>
        <w:tblW w:w="3583" w:type="dxa"/>
        <w:tblInd w:w="3256" w:type="dxa"/>
        <w:tblLook w:val="04A0" w:firstRow="1" w:lastRow="0" w:firstColumn="1" w:lastColumn="0" w:noHBand="0" w:noVBand="1"/>
      </w:tblPr>
      <w:tblGrid>
        <w:gridCol w:w="723"/>
        <w:gridCol w:w="960"/>
        <w:gridCol w:w="960"/>
        <w:gridCol w:w="960"/>
      </w:tblGrid>
      <w:tr w:rsidR="00852C70" w14:paraId="11245AAE" w14:textId="77777777">
        <w:trPr>
          <w:trHeight w:val="300"/>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466B" w14:textId="77777777" w:rsidR="00852C70" w:rsidRDefault="000A1714">
            <w:pPr>
              <w:spacing w:before="14" w:after="0" w:line="260" w:lineRule="exact"/>
              <w:rPr>
                <w:rFonts w:ascii="Times New Roman" w:hAnsi="Times New Roman"/>
                <w:bCs/>
                <w:i/>
                <w:color w:val="000000"/>
                <w:sz w:val="24"/>
                <w:szCs w:val="24"/>
              </w:rPr>
            </w:pPr>
            <w:r>
              <w:rPr>
                <w:rFonts w:ascii="Times New Roman" w:hAnsi="Times New Roman"/>
                <w:bCs/>
                <w:i/>
                <w:color w:val="000000"/>
                <w:sz w:val="24"/>
                <w:szCs w:val="24"/>
              </w:rPr>
              <w:t>items</w:t>
            </w:r>
          </w:p>
        </w:tc>
        <w:tc>
          <w:tcPr>
            <w:tcW w:w="960" w:type="dxa"/>
            <w:tcBorders>
              <w:top w:val="single" w:sz="4" w:space="0" w:color="auto"/>
              <w:left w:val="nil"/>
              <w:bottom w:val="single" w:sz="4" w:space="0" w:color="auto"/>
              <w:right w:val="single" w:sz="4" w:space="0" w:color="auto"/>
            </w:tcBorders>
            <w:shd w:val="clear" w:color="000000" w:fill="C0C0C0"/>
            <w:noWrap/>
            <w:vAlign w:val="center"/>
            <w:hideMark/>
          </w:tcPr>
          <w:p w14:paraId="03CD4925" w14:textId="77777777" w:rsidR="00852C70" w:rsidRDefault="000A1714">
            <w:pPr>
              <w:spacing w:before="14" w:after="0" w:line="260" w:lineRule="exact"/>
              <w:rPr>
                <w:rFonts w:ascii="Times New Roman" w:hAnsi="Times New Roman"/>
                <w:bCs/>
                <w:i/>
                <w:color w:val="000000"/>
                <w:sz w:val="24"/>
                <w:szCs w:val="24"/>
              </w:rPr>
            </w:pPr>
            <w:r>
              <w:rPr>
                <w:rFonts w:ascii="Times New Roman" w:hAnsi="Times New Roman"/>
                <w:bCs/>
                <w:i/>
                <w:color w:val="000000"/>
                <w:sz w:val="24"/>
                <w:szCs w:val="24"/>
              </w:rPr>
              <w:t>SI(Z)</w:t>
            </w:r>
          </w:p>
        </w:tc>
        <w:tc>
          <w:tcPr>
            <w:tcW w:w="960" w:type="dxa"/>
            <w:tcBorders>
              <w:top w:val="single" w:sz="4" w:space="0" w:color="auto"/>
              <w:left w:val="nil"/>
              <w:bottom w:val="single" w:sz="4" w:space="0" w:color="auto"/>
              <w:right w:val="single" w:sz="4" w:space="0" w:color="auto"/>
            </w:tcBorders>
            <w:shd w:val="clear" w:color="000000" w:fill="C0C0C0"/>
            <w:noWrap/>
            <w:vAlign w:val="center"/>
            <w:hideMark/>
          </w:tcPr>
          <w:p w14:paraId="757BD4D9" w14:textId="77777777" w:rsidR="00852C70" w:rsidRDefault="000A1714">
            <w:pPr>
              <w:spacing w:before="14" w:after="0" w:line="260" w:lineRule="exact"/>
              <w:rPr>
                <w:rFonts w:ascii="Times New Roman" w:hAnsi="Times New Roman"/>
                <w:bCs/>
                <w:i/>
                <w:color w:val="000000"/>
                <w:sz w:val="24"/>
                <w:szCs w:val="24"/>
              </w:rPr>
            </w:pPr>
            <w:r>
              <w:rPr>
                <w:rFonts w:ascii="Times New Roman" w:hAnsi="Times New Roman"/>
                <w:bCs/>
                <w:i/>
                <w:color w:val="000000"/>
                <w:sz w:val="24"/>
                <w:szCs w:val="24"/>
              </w:rPr>
              <w:t>KPM (Y)</w:t>
            </w:r>
          </w:p>
        </w:tc>
        <w:tc>
          <w:tcPr>
            <w:tcW w:w="960" w:type="dxa"/>
            <w:tcBorders>
              <w:top w:val="single" w:sz="4" w:space="0" w:color="auto"/>
              <w:left w:val="nil"/>
              <w:bottom w:val="single" w:sz="4" w:space="0" w:color="auto"/>
              <w:right w:val="single" w:sz="4" w:space="0" w:color="auto"/>
            </w:tcBorders>
            <w:shd w:val="clear" w:color="000000" w:fill="C0C0C0"/>
            <w:noWrap/>
            <w:vAlign w:val="center"/>
            <w:hideMark/>
          </w:tcPr>
          <w:p w14:paraId="2AA182D1" w14:textId="77777777" w:rsidR="00852C70" w:rsidRDefault="000A1714">
            <w:pPr>
              <w:spacing w:before="14" w:after="0" w:line="260" w:lineRule="exact"/>
              <w:rPr>
                <w:rFonts w:ascii="Times New Roman" w:hAnsi="Times New Roman"/>
                <w:bCs/>
                <w:i/>
                <w:color w:val="000000"/>
                <w:sz w:val="24"/>
                <w:szCs w:val="24"/>
              </w:rPr>
            </w:pPr>
            <w:r>
              <w:rPr>
                <w:rFonts w:ascii="Times New Roman" w:hAnsi="Times New Roman"/>
                <w:bCs/>
                <w:i/>
                <w:color w:val="000000"/>
                <w:sz w:val="24"/>
                <w:szCs w:val="24"/>
              </w:rPr>
              <w:t>PAML (X)</w:t>
            </w:r>
          </w:p>
        </w:tc>
      </w:tr>
      <w:tr w:rsidR="00852C70" w14:paraId="0AE36D4F" w14:textId="77777777">
        <w:trPr>
          <w:trHeight w:val="300"/>
        </w:trPr>
        <w:tc>
          <w:tcPr>
            <w:tcW w:w="703" w:type="dxa"/>
            <w:tcBorders>
              <w:top w:val="nil"/>
              <w:left w:val="single" w:sz="4" w:space="0" w:color="auto"/>
              <w:bottom w:val="single" w:sz="4" w:space="0" w:color="auto"/>
              <w:right w:val="single" w:sz="4" w:space="0" w:color="auto"/>
            </w:tcBorders>
            <w:shd w:val="clear" w:color="000000" w:fill="C0C0C0"/>
            <w:noWrap/>
            <w:vAlign w:val="center"/>
            <w:hideMark/>
          </w:tcPr>
          <w:p w14:paraId="3AB77504" w14:textId="77777777" w:rsidR="00852C70" w:rsidRDefault="000A1714">
            <w:pPr>
              <w:spacing w:before="14" w:after="0" w:line="260" w:lineRule="exact"/>
              <w:rPr>
                <w:rFonts w:ascii="Times New Roman" w:hAnsi="Times New Roman"/>
                <w:bCs/>
                <w:color w:val="000000"/>
                <w:sz w:val="24"/>
                <w:szCs w:val="24"/>
              </w:rPr>
            </w:pPr>
            <w:r>
              <w:rPr>
                <w:rFonts w:ascii="Times New Roman" w:hAnsi="Times New Roman"/>
                <w:bCs/>
                <w:color w:val="000000"/>
                <w:sz w:val="24"/>
                <w:szCs w:val="24"/>
              </w:rPr>
              <w:t>KO5</w:t>
            </w:r>
          </w:p>
        </w:tc>
        <w:tc>
          <w:tcPr>
            <w:tcW w:w="960" w:type="dxa"/>
            <w:tcBorders>
              <w:top w:val="nil"/>
              <w:left w:val="nil"/>
              <w:bottom w:val="single" w:sz="4" w:space="0" w:color="auto"/>
              <w:right w:val="single" w:sz="4" w:space="0" w:color="auto"/>
            </w:tcBorders>
            <w:shd w:val="clear" w:color="auto" w:fill="auto"/>
            <w:noWrap/>
            <w:vAlign w:val="center"/>
            <w:hideMark/>
          </w:tcPr>
          <w:p w14:paraId="2B10EFF3" w14:textId="77777777" w:rsidR="00852C70" w:rsidRDefault="000A1714">
            <w:pPr>
              <w:spacing w:before="14" w:after="0" w:line="260" w:lineRule="exact"/>
              <w:rPr>
                <w:rFonts w:ascii="Times New Roman" w:hAnsi="Times New Roman"/>
                <w:bCs/>
                <w:color w:val="800000"/>
                <w:sz w:val="24"/>
                <w:szCs w:val="24"/>
              </w:rPr>
            </w:pPr>
            <w:r>
              <w:rPr>
                <w:rFonts w:ascii="Times New Roman" w:hAnsi="Times New Roman"/>
                <w:bCs/>
                <w:color w:val="8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3D1FA6B" w14:textId="77777777" w:rsidR="00852C70" w:rsidRDefault="000A1714">
            <w:pPr>
              <w:spacing w:before="14" w:after="0" w:line="260" w:lineRule="exact"/>
              <w:jc w:val="right"/>
              <w:rPr>
                <w:rFonts w:ascii="Times New Roman" w:hAnsi="Times New Roman"/>
                <w:bCs/>
                <w:color w:val="800000"/>
                <w:sz w:val="24"/>
                <w:szCs w:val="24"/>
              </w:rPr>
            </w:pPr>
            <w:r>
              <w:rPr>
                <w:rFonts w:ascii="Times New Roman" w:hAnsi="Times New Roman"/>
                <w:bCs/>
                <w:sz w:val="24"/>
                <w:szCs w:val="24"/>
              </w:rPr>
              <w:t>,094</w:t>
            </w:r>
          </w:p>
        </w:tc>
        <w:tc>
          <w:tcPr>
            <w:tcW w:w="960" w:type="dxa"/>
            <w:tcBorders>
              <w:top w:val="nil"/>
              <w:left w:val="nil"/>
              <w:bottom w:val="single" w:sz="4" w:space="0" w:color="auto"/>
              <w:right w:val="single" w:sz="4" w:space="0" w:color="auto"/>
            </w:tcBorders>
            <w:shd w:val="clear" w:color="auto" w:fill="auto"/>
            <w:noWrap/>
            <w:vAlign w:val="center"/>
            <w:hideMark/>
          </w:tcPr>
          <w:p w14:paraId="6980BD1A" w14:textId="77777777" w:rsidR="00852C70" w:rsidRDefault="000A1714">
            <w:pPr>
              <w:spacing w:before="14" w:after="0" w:line="260" w:lineRule="exact"/>
              <w:rPr>
                <w:rFonts w:ascii="Times New Roman" w:hAnsi="Times New Roman"/>
                <w:bCs/>
                <w:color w:val="800000"/>
                <w:sz w:val="24"/>
                <w:szCs w:val="24"/>
              </w:rPr>
            </w:pPr>
            <w:r>
              <w:rPr>
                <w:rFonts w:ascii="Times New Roman" w:hAnsi="Times New Roman"/>
                <w:bCs/>
                <w:color w:val="800000"/>
                <w:sz w:val="24"/>
                <w:szCs w:val="24"/>
              </w:rPr>
              <w:t> </w:t>
            </w:r>
          </w:p>
        </w:tc>
      </w:tr>
    </w:tbl>
    <w:p w14:paraId="51E52187" w14:textId="77777777" w:rsidR="00852C70" w:rsidRDefault="000A1714">
      <w:pPr>
        <w:spacing w:before="14" w:after="0" w:line="260" w:lineRule="exact"/>
        <w:jc w:val="center"/>
        <w:rPr>
          <w:rFonts w:ascii="Times New Roman" w:hAnsi="Times New Roman"/>
          <w:sz w:val="24"/>
          <w:szCs w:val="24"/>
        </w:rPr>
      </w:pPr>
      <w:r>
        <w:rPr>
          <w:rFonts w:ascii="Times New Roman" w:hAnsi="Times New Roman"/>
          <w:sz w:val="24"/>
          <w:szCs w:val="24"/>
        </w:rPr>
        <w:t>Source: Primary Analysis Data, 2021</w:t>
      </w:r>
    </w:p>
    <w:p w14:paraId="5E4409DD" w14:textId="77777777" w:rsidR="00852C70" w:rsidRDefault="00852C70">
      <w:pPr>
        <w:spacing w:before="14" w:after="0" w:line="260" w:lineRule="exact"/>
        <w:ind w:firstLine="720"/>
        <w:jc w:val="both"/>
        <w:rPr>
          <w:rFonts w:ascii="Times New Roman" w:hAnsi="Times New Roman"/>
          <w:sz w:val="24"/>
          <w:szCs w:val="24"/>
        </w:rPr>
      </w:pPr>
    </w:p>
    <w:p w14:paraId="733B4A9C"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sz w:val="24"/>
          <w:szCs w:val="24"/>
        </w:rPr>
        <w:t>The second test was carried out after deleting the KO5 question items with a total of 44 question items tested, resulting in a convergent validity table with all question items that met the requirements.</w:t>
      </w:r>
    </w:p>
    <w:p w14:paraId="44AA2F05" w14:textId="77777777" w:rsidR="00852C70" w:rsidRDefault="000A1714">
      <w:pPr>
        <w:spacing w:before="14" w:after="0" w:line="260" w:lineRule="exact"/>
        <w:ind w:firstLine="720"/>
        <w:jc w:val="center"/>
        <w:rPr>
          <w:rFonts w:ascii="Times New Roman" w:hAnsi="Times New Roman"/>
          <w:sz w:val="24"/>
          <w:szCs w:val="24"/>
        </w:rPr>
      </w:pPr>
      <w:r>
        <w:rPr>
          <w:rFonts w:ascii="Times New Roman" w:hAnsi="Times New Roman"/>
          <w:b/>
          <w:sz w:val="24"/>
          <w:szCs w:val="24"/>
        </w:rPr>
        <w:t xml:space="preserve">Table 4.2. </w:t>
      </w:r>
      <w:r>
        <w:rPr>
          <w:rFonts w:ascii="Times New Roman" w:hAnsi="Times New Roman"/>
          <w:i/>
          <w:sz w:val="24"/>
          <w:szCs w:val="24"/>
        </w:rPr>
        <w:t>Convergent Validity</w:t>
      </w:r>
    </w:p>
    <w:tbl>
      <w:tblPr>
        <w:tblW w:w="9222" w:type="dxa"/>
        <w:tblLook w:val="04A0" w:firstRow="1" w:lastRow="0" w:firstColumn="1" w:lastColumn="0" w:noHBand="0" w:noVBand="1"/>
      </w:tblPr>
      <w:tblGrid>
        <w:gridCol w:w="456"/>
        <w:gridCol w:w="980"/>
        <w:gridCol w:w="1120"/>
        <w:gridCol w:w="840"/>
        <w:gridCol w:w="1135"/>
        <w:gridCol w:w="456"/>
        <w:gridCol w:w="980"/>
        <w:gridCol w:w="1120"/>
        <w:gridCol w:w="860"/>
        <w:gridCol w:w="1275"/>
      </w:tblGrid>
      <w:tr w:rsidR="00852C70" w14:paraId="57AA62A9" w14:textId="77777777">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FDA9F78"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no</w:t>
            </w:r>
          </w:p>
        </w:tc>
        <w:tc>
          <w:tcPr>
            <w:tcW w:w="980" w:type="dxa"/>
            <w:tcBorders>
              <w:top w:val="single" w:sz="4" w:space="0" w:color="auto"/>
              <w:left w:val="nil"/>
              <w:bottom w:val="single" w:sz="4" w:space="0" w:color="auto"/>
              <w:right w:val="single" w:sz="4" w:space="0" w:color="auto"/>
            </w:tcBorders>
            <w:shd w:val="clear" w:color="auto" w:fill="BFBFBF"/>
            <w:noWrap/>
            <w:vAlign w:val="center"/>
            <w:hideMark/>
          </w:tcPr>
          <w:p w14:paraId="11249178"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items</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14:paraId="42ED5806"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PAML (X)</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14:paraId="2656B732"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SI(Z)</w:t>
            </w:r>
          </w:p>
        </w:tc>
        <w:tc>
          <w:tcPr>
            <w:tcW w:w="1135" w:type="dxa"/>
            <w:tcBorders>
              <w:top w:val="single" w:sz="4" w:space="0" w:color="auto"/>
              <w:left w:val="nil"/>
              <w:bottom w:val="single" w:sz="4" w:space="0" w:color="auto"/>
              <w:right w:val="single" w:sz="4" w:space="0" w:color="auto"/>
            </w:tcBorders>
            <w:shd w:val="clear" w:color="000000" w:fill="C0C0C0"/>
            <w:noWrap/>
            <w:vAlign w:val="center"/>
            <w:hideMark/>
          </w:tcPr>
          <w:p w14:paraId="67BECAE9"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KPM (Y)</w:t>
            </w:r>
          </w:p>
        </w:tc>
        <w:tc>
          <w:tcPr>
            <w:tcW w:w="456" w:type="dxa"/>
            <w:tcBorders>
              <w:top w:val="single" w:sz="4" w:space="0" w:color="auto"/>
              <w:left w:val="nil"/>
              <w:bottom w:val="single" w:sz="4" w:space="0" w:color="auto"/>
              <w:right w:val="single" w:sz="4" w:space="0" w:color="auto"/>
            </w:tcBorders>
            <w:shd w:val="clear" w:color="auto" w:fill="BFBFBF"/>
            <w:noWrap/>
            <w:vAlign w:val="bottom"/>
            <w:hideMark/>
          </w:tcPr>
          <w:p w14:paraId="1D7B2D01"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no</w:t>
            </w:r>
          </w:p>
        </w:tc>
        <w:tc>
          <w:tcPr>
            <w:tcW w:w="980" w:type="dxa"/>
            <w:tcBorders>
              <w:top w:val="nil"/>
              <w:left w:val="nil"/>
              <w:bottom w:val="nil"/>
              <w:right w:val="nil"/>
            </w:tcBorders>
            <w:shd w:val="clear" w:color="000000" w:fill="C0C0C0"/>
            <w:noWrap/>
            <w:vAlign w:val="center"/>
            <w:hideMark/>
          </w:tcPr>
          <w:p w14:paraId="197A4978"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items</w:t>
            </w:r>
          </w:p>
        </w:tc>
        <w:tc>
          <w:tcPr>
            <w:tcW w:w="11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3614CBA"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PAML (X)</w:t>
            </w:r>
          </w:p>
        </w:tc>
        <w:tc>
          <w:tcPr>
            <w:tcW w:w="860" w:type="dxa"/>
            <w:tcBorders>
              <w:top w:val="single" w:sz="4" w:space="0" w:color="auto"/>
              <w:left w:val="nil"/>
              <w:bottom w:val="single" w:sz="4" w:space="0" w:color="auto"/>
              <w:right w:val="single" w:sz="4" w:space="0" w:color="auto"/>
            </w:tcBorders>
            <w:shd w:val="clear" w:color="000000" w:fill="C0C0C0"/>
            <w:noWrap/>
            <w:vAlign w:val="center"/>
            <w:hideMark/>
          </w:tcPr>
          <w:p w14:paraId="46C91DAA"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SI(Z)</w:t>
            </w:r>
          </w:p>
        </w:tc>
        <w:tc>
          <w:tcPr>
            <w:tcW w:w="1275" w:type="dxa"/>
            <w:tcBorders>
              <w:top w:val="single" w:sz="4" w:space="0" w:color="auto"/>
              <w:left w:val="nil"/>
              <w:bottom w:val="single" w:sz="4" w:space="0" w:color="auto"/>
              <w:right w:val="single" w:sz="4" w:space="0" w:color="auto"/>
            </w:tcBorders>
            <w:shd w:val="clear" w:color="000000" w:fill="C0C0C0"/>
            <w:noWrap/>
            <w:vAlign w:val="center"/>
            <w:hideMark/>
          </w:tcPr>
          <w:p w14:paraId="2C83CF09"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KPM (Y)</w:t>
            </w:r>
          </w:p>
        </w:tc>
      </w:tr>
      <w:tr w:rsidR="00852C70" w14:paraId="1824634A"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3E97D7C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w:t>
            </w:r>
          </w:p>
        </w:tc>
        <w:tc>
          <w:tcPr>
            <w:tcW w:w="980" w:type="dxa"/>
            <w:tcBorders>
              <w:top w:val="nil"/>
              <w:left w:val="nil"/>
              <w:bottom w:val="single" w:sz="4" w:space="0" w:color="auto"/>
              <w:right w:val="single" w:sz="4" w:space="0" w:color="auto"/>
            </w:tcBorders>
            <w:shd w:val="clear" w:color="000000" w:fill="C0C0C0"/>
            <w:noWrap/>
            <w:vAlign w:val="center"/>
            <w:hideMark/>
          </w:tcPr>
          <w:p w14:paraId="623E5DE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BL1</w:t>
            </w:r>
          </w:p>
        </w:tc>
        <w:tc>
          <w:tcPr>
            <w:tcW w:w="1120" w:type="dxa"/>
            <w:tcBorders>
              <w:top w:val="nil"/>
              <w:left w:val="nil"/>
              <w:bottom w:val="single" w:sz="4" w:space="0" w:color="auto"/>
              <w:right w:val="single" w:sz="4" w:space="0" w:color="auto"/>
            </w:tcBorders>
            <w:shd w:val="clear" w:color="000000" w:fill="FFFFFF"/>
            <w:noWrap/>
            <w:vAlign w:val="center"/>
            <w:hideMark/>
          </w:tcPr>
          <w:p w14:paraId="0DA4B0D3"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,648</w:t>
            </w:r>
          </w:p>
        </w:tc>
        <w:tc>
          <w:tcPr>
            <w:tcW w:w="840" w:type="dxa"/>
            <w:tcBorders>
              <w:top w:val="nil"/>
              <w:left w:val="nil"/>
              <w:bottom w:val="single" w:sz="4" w:space="0" w:color="auto"/>
              <w:right w:val="single" w:sz="4" w:space="0" w:color="auto"/>
            </w:tcBorders>
            <w:shd w:val="clear" w:color="000000" w:fill="FFFFFF"/>
            <w:noWrap/>
            <w:vAlign w:val="center"/>
            <w:hideMark/>
          </w:tcPr>
          <w:p w14:paraId="02203C96"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29C1073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6D3F39E0"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23</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14:paraId="2D9C363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KM3</w:t>
            </w:r>
          </w:p>
        </w:tc>
        <w:tc>
          <w:tcPr>
            <w:tcW w:w="1120" w:type="dxa"/>
            <w:tcBorders>
              <w:top w:val="nil"/>
              <w:left w:val="nil"/>
              <w:bottom w:val="single" w:sz="4" w:space="0" w:color="auto"/>
              <w:right w:val="single" w:sz="4" w:space="0" w:color="auto"/>
            </w:tcBorders>
            <w:shd w:val="clear" w:color="000000" w:fill="FFFFFF"/>
            <w:noWrap/>
            <w:vAlign w:val="center"/>
            <w:hideMark/>
          </w:tcPr>
          <w:p w14:paraId="5CD9C9B4"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,743</w:t>
            </w:r>
          </w:p>
        </w:tc>
        <w:tc>
          <w:tcPr>
            <w:tcW w:w="860" w:type="dxa"/>
            <w:tcBorders>
              <w:top w:val="nil"/>
              <w:left w:val="nil"/>
              <w:bottom w:val="single" w:sz="4" w:space="0" w:color="auto"/>
              <w:right w:val="single" w:sz="4" w:space="0" w:color="auto"/>
            </w:tcBorders>
            <w:shd w:val="clear" w:color="000000" w:fill="FFFFFF"/>
            <w:noWrap/>
            <w:vAlign w:val="center"/>
            <w:hideMark/>
          </w:tcPr>
          <w:p w14:paraId="2A1BEEC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CA45A2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6D4F888D"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4701D9C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w:t>
            </w:r>
          </w:p>
        </w:tc>
        <w:tc>
          <w:tcPr>
            <w:tcW w:w="980" w:type="dxa"/>
            <w:tcBorders>
              <w:top w:val="nil"/>
              <w:left w:val="nil"/>
              <w:bottom w:val="single" w:sz="4" w:space="0" w:color="auto"/>
              <w:right w:val="single" w:sz="4" w:space="0" w:color="auto"/>
            </w:tcBorders>
            <w:shd w:val="clear" w:color="000000" w:fill="C0C0C0"/>
            <w:noWrap/>
            <w:vAlign w:val="center"/>
            <w:hideMark/>
          </w:tcPr>
          <w:p w14:paraId="2D0CCDE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BL2</w:t>
            </w:r>
          </w:p>
        </w:tc>
        <w:tc>
          <w:tcPr>
            <w:tcW w:w="1120" w:type="dxa"/>
            <w:tcBorders>
              <w:top w:val="nil"/>
              <w:left w:val="nil"/>
              <w:bottom w:val="single" w:sz="4" w:space="0" w:color="auto"/>
              <w:right w:val="single" w:sz="4" w:space="0" w:color="auto"/>
            </w:tcBorders>
            <w:shd w:val="clear" w:color="000000" w:fill="FFFFFF"/>
            <w:noWrap/>
            <w:vAlign w:val="center"/>
            <w:hideMark/>
          </w:tcPr>
          <w:p w14:paraId="5F452276"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,801</w:t>
            </w:r>
          </w:p>
        </w:tc>
        <w:tc>
          <w:tcPr>
            <w:tcW w:w="840" w:type="dxa"/>
            <w:tcBorders>
              <w:top w:val="nil"/>
              <w:left w:val="nil"/>
              <w:bottom w:val="single" w:sz="4" w:space="0" w:color="auto"/>
              <w:right w:val="single" w:sz="4" w:space="0" w:color="auto"/>
            </w:tcBorders>
            <w:shd w:val="clear" w:color="000000" w:fill="FFFFFF"/>
            <w:noWrap/>
            <w:vAlign w:val="center"/>
            <w:hideMark/>
          </w:tcPr>
          <w:p w14:paraId="7A48047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37E1711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5EBCBAC0"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24</w:t>
            </w:r>
          </w:p>
        </w:tc>
        <w:tc>
          <w:tcPr>
            <w:tcW w:w="980" w:type="dxa"/>
            <w:tcBorders>
              <w:top w:val="nil"/>
              <w:left w:val="nil"/>
              <w:bottom w:val="single" w:sz="4" w:space="0" w:color="auto"/>
              <w:right w:val="single" w:sz="4" w:space="0" w:color="auto"/>
            </w:tcBorders>
            <w:shd w:val="clear" w:color="000000" w:fill="C0C0C0"/>
            <w:noWrap/>
            <w:vAlign w:val="center"/>
            <w:hideMark/>
          </w:tcPr>
          <w:p w14:paraId="09553C7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KM4</w:t>
            </w:r>
          </w:p>
        </w:tc>
        <w:tc>
          <w:tcPr>
            <w:tcW w:w="1120" w:type="dxa"/>
            <w:tcBorders>
              <w:top w:val="nil"/>
              <w:left w:val="nil"/>
              <w:bottom w:val="single" w:sz="4" w:space="0" w:color="auto"/>
              <w:right w:val="single" w:sz="4" w:space="0" w:color="auto"/>
            </w:tcBorders>
            <w:shd w:val="clear" w:color="000000" w:fill="FFFFFF"/>
            <w:noWrap/>
            <w:vAlign w:val="center"/>
            <w:hideMark/>
          </w:tcPr>
          <w:p w14:paraId="25FD0CC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,694</w:t>
            </w:r>
          </w:p>
        </w:tc>
        <w:tc>
          <w:tcPr>
            <w:tcW w:w="860" w:type="dxa"/>
            <w:tcBorders>
              <w:top w:val="nil"/>
              <w:left w:val="nil"/>
              <w:bottom w:val="single" w:sz="4" w:space="0" w:color="auto"/>
              <w:right w:val="single" w:sz="4" w:space="0" w:color="auto"/>
            </w:tcBorders>
            <w:shd w:val="clear" w:color="000000" w:fill="FFFFFF"/>
            <w:noWrap/>
            <w:vAlign w:val="center"/>
            <w:hideMark/>
          </w:tcPr>
          <w:p w14:paraId="77DFF19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654398F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32F4585B"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1F36871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w:t>
            </w:r>
          </w:p>
        </w:tc>
        <w:tc>
          <w:tcPr>
            <w:tcW w:w="980" w:type="dxa"/>
            <w:tcBorders>
              <w:top w:val="nil"/>
              <w:left w:val="nil"/>
              <w:bottom w:val="single" w:sz="4" w:space="0" w:color="auto"/>
              <w:right w:val="single" w:sz="4" w:space="0" w:color="auto"/>
            </w:tcBorders>
            <w:shd w:val="clear" w:color="000000" w:fill="C0C0C0"/>
            <w:noWrap/>
            <w:vAlign w:val="center"/>
            <w:hideMark/>
          </w:tcPr>
          <w:p w14:paraId="09E9D048"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BL3</w:t>
            </w:r>
          </w:p>
        </w:tc>
        <w:tc>
          <w:tcPr>
            <w:tcW w:w="1120" w:type="dxa"/>
            <w:tcBorders>
              <w:top w:val="nil"/>
              <w:left w:val="nil"/>
              <w:bottom w:val="single" w:sz="4" w:space="0" w:color="auto"/>
              <w:right w:val="single" w:sz="4" w:space="0" w:color="auto"/>
            </w:tcBorders>
            <w:shd w:val="clear" w:color="000000" w:fill="FFFFFF"/>
            <w:noWrap/>
            <w:vAlign w:val="center"/>
            <w:hideMark/>
          </w:tcPr>
          <w:p w14:paraId="69E819D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,759</w:t>
            </w:r>
          </w:p>
        </w:tc>
        <w:tc>
          <w:tcPr>
            <w:tcW w:w="840" w:type="dxa"/>
            <w:tcBorders>
              <w:top w:val="nil"/>
              <w:left w:val="nil"/>
              <w:bottom w:val="single" w:sz="4" w:space="0" w:color="auto"/>
              <w:right w:val="single" w:sz="4" w:space="0" w:color="auto"/>
            </w:tcBorders>
            <w:shd w:val="clear" w:color="000000" w:fill="FFFFFF"/>
            <w:noWrap/>
            <w:vAlign w:val="center"/>
            <w:hideMark/>
          </w:tcPr>
          <w:p w14:paraId="08345C7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5BCB473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207920D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25</w:t>
            </w:r>
          </w:p>
        </w:tc>
        <w:tc>
          <w:tcPr>
            <w:tcW w:w="980" w:type="dxa"/>
            <w:tcBorders>
              <w:top w:val="nil"/>
              <w:left w:val="nil"/>
              <w:bottom w:val="single" w:sz="4" w:space="0" w:color="auto"/>
              <w:right w:val="single" w:sz="4" w:space="0" w:color="auto"/>
            </w:tcBorders>
            <w:shd w:val="clear" w:color="000000" w:fill="C0C0C0"/>
            <w:noWrap/>
            <w:vAlign w:val="center"/>
            <w:hideMark/>
          </w:tcPr>
          <w:p w14:paraId="61ECBF1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KM5</w:t>
            </w:r>
          </w:p>
        </w:tc>
        <w:tc>
          <w:tcPr>
            <w:tcW w:w="1120" w:type="dxa"/>
            <w:tcBorders>
              <w:top w:val="nil"/>
              <w:left w:val="nil"/>
              <w:bottom w:val="single" w:sz="4" w:space="0" w:color="auto"/>
              <w:right w:val="single" w:sz="4" w:space="0" w:color="auto"/>
            </w:tcBorders>
            <w:shd w:val="clear" w:color="000000" w:fill="FFFFFF"/>
            <w:noWrap/>
            <w:vAlign w:val="center"/>
            <w:hideMark/>
          </w:tcPr>
          <w:p w14:paraId="526C25B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,755</w:t>
            </w:r>
          </w:p>
        </w:tc>
        <w:tc>
          <w:tcPr>
            <w:tcW w:w="860" w:type="dxa"/>
            <w:tcBorders>
              <w:top w:val="nil"/>
              <w:left w:val="nil"/>
              <w:bottom w:val="single" w:sz="4" w:space="0" w:color="auto"/>
              <w:right w:val="single" w:sz="4" w:space="0" w:color="auto"/>
            </w:tcBorders>
            <w:shd w:val="clear" w:color="000000" w:fill="FFFFFF"/>
            <w:noWrap/>
            <w:vAlign w:val="center"/>
            <w:hideMark/>
          </w:tcPr>
          <w:p w14:paraId="19F0563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3429642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28743C3E"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62EE5E44"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4</w:t>
            </w:r>
          </w:p>
        </w:tc>
        <w:tc>
          <w:tcPr>
            <w:tcW w:w="980" w:type="dxa"/>
            <w:tcBorders>
              <w:top w:val="nil"/>
              <w:left w:val="nil"/>
              <w:bottom w:val="single" w:sz="4" w:space="0" w:color="auto"/>
              <w:right w:val="single" w:sz="4" w:space="0" w:color="auto"/>
            </w:tcBorders>
            <w:shd w:val="clear" w:color="000000" w:fill="C0C0C0"/>
            <w:noWrap/>
            <w:vAlign w:val="center"/>
            <w:hideMark/>
          </w:tcPr>
          <w:p w14:paraId="6DA35448"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BL4</w:t>
            </w:r>
          </w:p>
        </w:tc>
        <w:tc>
          <w:tcPr>
            <w:tcW w:w="1120" w:type="dxa"/>
            <w:tcBorders>
              <w:top w:val="nil"/>
              <w:left w:val="nil"/>
              <w:bottom w:val="single" w:sz="4" w:space="0" w:color="auto"/>
              <w:right w:val="single" w:sz="4" w:space="0" w:color="auto"/>
            </w:tcBorders>
            <w:shd w:val="clear" w:color="000000" w:fill="FFFFFF"/>
            <w:noWrap/>
            <w:vAlign w:val="center"/>
            <w:hideMark/>
          </w:tcPr>
          <w:p w14:paraId="2DE5387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,699</w:t>
            </w:r>
          </w:p>
        </w:tc>
        <w:tc>
          <w:tcPr>
            <w:tcW w:w="840" w:type="dxa"/>
            <w:tcBorders>
              <w:top w:val="nil"/>
              <w:left w:val="nil"/>
              <w:bottom w:val="single" w:sz="4" w:space="0" w:color="auto"/>
              <w:right w:val="single" w:sz="4" w:space="0" w:color="auto"/>
            </w:tcBorders>
            <w:shd w:val="clear" w:color="000000" w:fill="FFFFFF"/>
            <w:noWrap/>
            <w:vAlign w:val="center"/>
            <w:hideMark/>
          </w:tcPr>
          <w:p w14:paraId="4DB496E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240F16E8"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71EE9214"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26</w:t>
            </w:r>
          </w:p>
        </w:tc>
        <w:tc>
          <w:tcPr>
            <w:tcW w:w="980" w:type="dxa"/>
            <w:tcBorders>
              <w:top w:val="nil"/>
              <w:left w:val="nil"/>
              <w:bottom w:val="single" w:sz="4" w:space="0" w:color="auto"/>
              <w:right w:val="single" w:sz="4" w:space="0" w:color="auto"/>
            </w:tcBorders>
            <w:shd w:val="clear" w:color="000000" w:fill="C0C0C0"/>
            <w:noWrap/>
            <w:vAlign w:val="center"/>
            <w:hideMark/>
          </w:tcPr>
          <w:p w14:paraId="6866F44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KO1</w:t>
            </w:r>
          </w:p>
        </w:tc>
        <w:tc>
          <w:tcPr>
            <w:tcW w:w="1120" w:type="dxa"/>
            <w:tcBorders>
              <w:top w:val="nil"/>
              <w:left w:val="nil"/>
              <w:bottom w:val="single" w:sz="4" w:space="0" w:color="auto"/>
              <w:right w:val="single" w:sz="4" w:space="0" w:color="auto"/>
            </w:tcBorders>
            <w:shd w:val="clear" w:color="000000" w:fill="FFFFFF"/>
            <w:noWrap/>
            <w:vAlign w:val="center"/>
            <w:hideMark/>
          </w:tcPr>
          <w:p w14:paraId="50B596DD"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61698508"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8218190"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,791</w:t>
            </w:r>
          </w:p>
        </w:tc>
      </w:tr>
      <w:tr w:rsidR="00852C70" w14:paraId="1F144921"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0E37E294"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5</w:t>
            </w:r>
          </w:p>
        </w:tc>
        <w:tc>
          <w:tcPr>
            <w:tcW w:w="980" w:type="dxa"/>
            <w:tcBorders>
              <w:top w:val="nil"/>
              <w:left w:val="nil"/>
              <w:bottom w:val="single" w:sz="4" w:space="0" w:color="auto"/>
              <w:right w:val="single" w:sz="4" w:space="0" w:color="auto"/>
            </w:tcBorders>
            <w:shd w:val="clear" w:color="000000" w:fill="C0C0C0"/>
            <w:noWrap/>
            <w:vAlign w:val="center"/>
            <w:hideMark/>
          </w:tcPr>
          <w:p w14:paraId="10FC094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BL5</w:t>
            </w:r>
          </w:p>
        </w:tc>
        <w:tc>
          <w:tcPr>
            <w:tcW w:w="1120" w:type="dxa"/>
            <w:tcBorders>
              <w:top w:val="nil"/>
              <w:left w:val="nil"/>
              <w:bottom w:val="single" w:sz="4" w:space="0" w:color="auto"/>
              <w:right w:val="single" w:sz="4" w:space="0" w:color="auto"/>
            </w:tcBorders>
            <w:shd w:val="clear" w:color="000000" w:fill="FFFFFF"/>
            <w:noWrap/>
            <w:vAlign w:val="center"/>
            <w:hideMark/>
          </w:tcPr>
          <w:p w14:paraId="2FFBD303"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,755</w:t>
            </w:r>
          </w:p>
        </w:tc>
        <w:tc>
          <w:tcPr>
            <w:tcW w:w="840" w:type="dxa"/>
            <w:tcBorders>
              <w:top w:val="nil"/>
              <w:left w:val="nil"/>
              <w:bottom w:val="single" w:sz="4" w:space="0" w:color="auto"/>
              <w:right w:val="single" w:sz="4" w:space="0" w:color="auto"/>
            </w:tcBorders>
            <w:shd w:val="clear" w:color="000000" w:fill="FFFFFF"/>
            <w:noWrap/>
            <w:vAlign w:val="center"/>
            <w:hideMark/>
          </w:tcPr>
          <w:p w14:paraId="6ADAF01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6C3A29B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0E5FB065"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27</w:t>
            </w:r>
          </w:p>
        </w:tc>
        <w:tc>
          <w:tcPr>
            <w:tcW w:w="980" w:type="dxa"/>
            <w:tcBorders>
              <w:top w:val="nil"/>
              <w:left w:val="nil"/>
              <w:bottom w:val="single" w:sz="4" w:space="0" w:color="auto"/>
              <w:right w:val="single" w:sz="4" w:space="0" w:color="auto"/>
            </w:tcBorders>
            <w:shd w:val="clear" w:color="000000" w:fill="C0C0C0"/>
            <w:noWrap/>
            <w:vAlign w:val="center"/>
            <w:hideMark/>
          </w:tcPr>
          <w:p w14:paraId="07FED4D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KO2</w:t>
            </w:r>
          </w:p>
        </w:tc>
        <w:tc>
          <w:tcPr>
            <w:tcW w:w="1120" w:type="dxa"/>
            <w:tcBorders>
              <w:top w:val="nil"/>
              <w:left w:val="nil"/>
              <w:bottom w:val="single" w:sz="4" w:space="0" w:color="auto"/>
              <w:right w:val="single" w:sz="4" w:space="0" w:color="auto"/>
            </w:tcBorders>
            <w:shd w:val="clear" w:color="000000" w:fill="FFFFFF"/>
            <w:noWrap/>
            <w:vAlign w:val="center"/>
            <w:hideMark/>
          </w:tcPr>
          <w:p w14:paraId="563897F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5429F634"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68D71A2E"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,775</w:t>
            </w:r>
          </w:p>
        </w:tc>
      </w:tr>
      <w:tr w:rsidR="00852C70" w14:paraId="25E3AECC"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6846387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w:t>
            </w:r>
          </w:p>
        </w:tc>
        <w:tc>
          <w:tcPr>
            <w:tcW w:w="980" w:type="dxa"/>
            <w:tcBorders>
              <w:top w:val="nil"/>
              <w:left w:val="nil"/>
              <w:bottom w:val="single" w:sz="4" w:space="0" w:color="auto"/>
              <w:right w:val="single" w:sz="4" w:space="0" w:color="auto"/>
            </w:tcBorders>
            <w:shd w:val="clear" w:color="000000" w:fill="C0C0C0"/>
            <w:noWrap/>
            <w:vAlign w:val="center"/>
            <w:hideMark/>
          </w:tcPr>
          <w:p w14:paraId="68F170B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FK1</w:t>
            </w:r>
          </w:p>
        </w:tc>
        <w:tc>
          <w:tcPr>
            <w:tcW w:w="1120" w:type="dxa"/>
            <w:tcBorders>
              <w:top w:val="nil"/>
              <w:left w:val="nil"/>
              <w:bottom w:val="single" w:sz="4" w:space="0" w:color="auto"/>
              <w:right w:val="single" w:sz="4" w:space="0" w:color="auto"/>
            </w:tcBorders>
            <w:shd w:val="clear" w:color="000000" w:fill="FFFFFF"/>
            <w:noWrap/>
            <w:vAlign w:val="center"/>
            <w:hideMark/>
          </w:tcPr>
          <w:p w14:paraId="117E18DD"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,788</w:t>
            </w:r>
          </w:p>
        </w:tc>
        <w:tc>
          <w:tcPr>
            <w:tcW w:w="840" w:type="dxa"/>
            <w:tcBorders>
              <w:top w:val="nil"/>
              <w:left w:val="nil"/>
              <w:bottom w:val="single" w:sz="4" w:space="0" w:color="auto"/>
              <w:right w:val="single" w:sz="4" w:space="0" w:color="auto"/>
            </w:tcBorders>
            <w:shd w:val="clear" w:color="000000" w:fill="FFFFFF"/>
            <w:noWrap/>
            <w:vAlign w:val="center"/>
            <w:hideMark/>
          </w:tcPr>
          <w:p w14:paraId="2D8C9DD8"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06902CD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641588AD"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28</w:t>
            </w:r>
          </w:p>
        </w:tc>
        <w:tc>
          <w:tcPr>
            <w:tcW w:w="980" w:type="dxa"/>
            <w:tcBorders>
              <w:top w:val="nil"/>
              <w:left w:val="nil"/>
              <w:bottom w:val="single" w:sz="4" w:space="0" w:color="auto"/>
              <w:right w:val="single" w:sz="4" w:space="0" w:color="auto"/>
            </w:tcBorders>
            <w:shd w:val="clear" w:color="000000" w:fill="C0C0C0"/>
            <w:noWrap/>
            <w:vAlign w:val="center"/>
            <w:hideMark/>
          </w:tcPr>
          <w:p w14:paraId="29293AC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KO3</w:t>
            </w:r>
          </w:p>
        </w:tc>
        <w:tc>
          <w:tcPr>
            <w:tcW w:w="1120" w:type="dxa"/>
            <w:tcBorders>
              <w:top w:val="nil"/>
              <w:left w:val="nil"/>
              <w:bottom w:val="single" w:sz="4" w:space="0" w:color="auto"/>
              <w:right w:val="single" w:sz="4" w:space="0" w:color="auto"/>
            </w:tcBorders>
            <w:shd w:val="clear" w:color="000000" w:fill="FFFFFF"/>
            <w:noWrap/>
            <w:vAlign w:val="center"/>
            <w:hideMark/>
          </w:tcPr>
          <w:p w14:paraId="2DBFB2C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2E3ABD76"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E8315AF"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,786</w:t>
            </w:r>
          </w:p>
        </w:tc>
      </w:tr>
      <w:tr w:rsidR="00852C70" w14:paraId="48DF8015"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2AB581E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w:t>
            </w:r>
          </w:p>
        </w:tc>
        <w:tc>
          <w:tcPr>
            <w:tcW w:w="980" w:type="dxa"/>
            <w:tcBorders>
              <w:top w:val="nil"/>
              <w:left w:val="nil"/>
              <w:bottom w:val="single" w:sz="4" w:space="0" w:color="auto"/>
              <w:right w:val="single" w:sz="4" w:space="0" w:color="auto"/>
            </w:tcBorders>
            <w:shd w:val="clear" w:color="000000" w:fill="C0C0C0"/>
            <w:noWrap/>
            <w:vAlign w:val="center"/>
            <w:hideMark/>
          </w:tcPr>
          <w:p w14:paraId="1044704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FK2</w:t>
            </w:r>
          </w:p>
        </w:tc>
        <w:tc>
          <w:tcPr>
            <w:tcW w:w="1120" w:type="dxa"/>
            <w:tcBorders>
              <w:top w:val="nil"/>
              <w:left w:val="nil"/>
              <w:bottom w:val="single" w:sz="4" w:space="0" w:color="auto"/>
              <w:right w:val="single" w:sz="4" w:space="0" w:color="auto"/>
            </w:tcBorders>
            <w:shd w:val="clear" w:color="000000" w:fill="FFFFFF"/>
            <w:noWrap/>
            <w:vAlign w:val="center"/>
            <w:hideMark/>
          </w:tcPr>
          <w:p w14:paraId="2C95127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,781</w:t>
            </w:r>
          </w:p>
        </w:tc>
        <w:tc>
          <w:tcPr>
            <w:tcW w:w="840" w:type="dxa"/>
            <w:tcBorders>
              <w:top w:val="nil"/>
              <w:left w:val="nil"/>
              <w:bottom w:val="single" w:sz="4" w:space="0" w:color="auto"/>
              <w:right w:val="single" w:sz="4" w:space="0" w:color="auto"/>
            </w:tcBorders>
            <w:shd w:val="clear" w:color="000000" w:fill="FFFFFF"/>
            <w:noWrap/>
            <w:vAlign w:val="center"/>
            <w:hideMark/>
          </w:tcPr>
          <w:p w14:paraId="6DF2268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7DBE392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05A37B1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29</w:t>
            </w:r>
          </w:p>
        </w:tc>
        <w:tc>
          <w:tcPr>
            <w:tcW w:w="980" w:type="dxa"/>
            <w:tcBorders>
              <w:top w:val="nil"/>
              <w:left w:val="nil"/>
              <w:bottom w:val="single" w:sz="4" w:space="0" w:color="auto"/>
              <w:right w:val="single" w:sz="4" w:space="0" w:color="auto"/>
            </w:tcBorders>
            <w:shd w:val="clear" w:color="000000" w:fill="C0C0C0"/>
            <w:noWrap/>
            <w:vAlign w:val="center"/>
            <w:hideMark/>
          </w:tcPr>
          <w:p w14:paraId="6BB5E6D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KO4</w:t>
            </w:r>
          </w:p>
        </w:tc>
        <w:tc>
          <w:tcPr>
            <w:tcW w:w="1120" w:type="dxa"/>
            <w:tcBorders>
              <w:top w:val="nil"/>
              <w:left w:val="nil"/>
              <w:bottom w:val="single" w:sz="4" w:space="0" w:color="auto"/>
              <w:right w:val="single" w:sz="4" w:space="0" w:color="auto"/>
            </w:tcBorders>
            <w:shd w:val="clear" w:color="000000" w:fill="FFFFFF"/>
            <w:noWrap/>
            <w:vAlign w:val="center"/>
            <w:hideMark/>
          </w:tcPr>
          <w:p w14:paraId="3C64A20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7BA82F0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E20BC2A"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,775</w:t>
            </w:r>
          </w:p>
        </w:tc>
      </w:tr>
      <w:tr w:rsidR="00852C70" w14:paraId="655DF163"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414183F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w:t>
            </w:r>
          </w:p>
        </w:tc>
        <w:tc>
          <w:tcPr>
            <w:tcW w:w="980" w:type="dxa"/>
            <w:tcBorders>
              <w:top w:val="nil"/>
              <w:left w:val="nil"/>
              <w:bottom w:val="single" w:sz="4" w:space="0" w:color="auto"/>
              <w:right w:val="single" w:sz="4" w:space="0" w:color="auto"/>
            </w:tcBorders>
            <w:shd w:val="clear" w:color="000000" w:fill="C0C0C0"/>
            <w:noWrap/>
            <w:vAlign w:val="center"/>
            <w:hideMark/>
          </w:tcPr>
          <w:p w14:paraId="0970688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FK3</w:t>
            </w:r>
          </w:p>
        </w:tc>
        <w:tc>
          <w:tcPr>
            <w:tcW w:w="1120" w:type="dxa"/>
            <w:tcBorders>
              <w:top w:val="nil"/>
              <w:left w:val="nil"/>
              <w:bottom w:val="single" w:sz="4" w:space="0" w:color="auto"/>
              <w:right w:val="single" w:sz="4" w:space="0" w:color="auto"/>
            </w:tcBorders>
            <w:shd w:val="clear" w:color="000000" w:fill="FFFFFF"/>
            <w:noWrap/>
            <w:vAlign w:val="center"/>
            <w:hideMark/>
          </w:tcPr>
          <w:p w14:paraId="38660B8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,766</w:t>
            </w:r>
          </w:p>
        </w:tc>
        <w:tc>
          <w:tcPr>
            <w:tcW w:w="840" w:type="dxa"/>
            <w:tcBorders>
              <w:top w:val="nil"/>
              <w:left w:val="nil"/>
              <w:bottom w:val="single" w:sz="4" w:space="0" w:color="auto"/>
              <w:right w:val="single" w:sz="4" w:space="0" w:color="auto"/>
            </w:tcBorders>
            <w:shd w:val="clear" w:color="000000" w:fill="FFFFFF"/>
            <w:noWrap/>
            <w:vAlign w:val="center"/>
            <w:hideMark/>
          </w:tcPr>
          <w:p w14:paraId="3DD5451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39C921C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7422C57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30</w:t>
            </w:r>
          </w:p>
        </w:tc>
        <w:tc>
          <w:tcPr>
            <w:tcW w:w="980" w:type="dxa"/>
            <w:tcBorders>
              <w:top w:val="nil"/>
              <w:left w:val="nil"/>
              <w:bottom w:val="single" w:sz="4" w:space="0" w:color="auto"/>
              <w:right w:val="single" w:sz="4" w:space="0" w:color="auto"/>
            </w:tcBorders>
            <w:shd w:val="clear" w:color="000000" w:fill="C0C0C0"/>
            <w:noWrap/>
            <w:vAlign w:val="center"/>
            <w:hideMark/>
          </w:tcPr>
          <w:p w14:paraId="74FF043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PR1</w:t>
            </w:r>
          </w:p>
        </w:tc>
        <w:tc>
          <w:tcPr>
            <w:tcW w:w="1120" w:type="dxa"/>
            <w:tcBorders>
              <w:top w:val="nil"/>
              <w:left w:val="nil"/>
              <w:bottom w:val="single" w:sz="4" w:space="0" w:color="auto"/>
              <w:right w:val="single" w:sz="4" w:space="0" w:color="auto"/>
            </w:tcBorders>
            <w:shd w:val="clear" w:color="000000" w:fill="FFFFFF"/>
            <w:noWrap/>
            <w:vAlign w:val="center"/>
            <w:hideMark/>
          </w:tcPr>
          <w:p w14:paraId="765231B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4A49EAB5"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,782</w:t>
            </w:r>
          </w:p>
        </w:tc>
        <w:tc>
          <w:tcPr>
            <w:tcW w:w="1275" w:type="dxa"/>
            <w:tcBorders>
              <w:top w:val="nil"/>
              <w:left w:val="nil"/>
              <w:bottom w:val="single" w:sz="4" w:space="0" w:color="auto"/>
              <w:right w:val="single" w:sz="4" w:space="0" w:color="auto"/>
            </w:tcBorders>
            <w:shd w:val="clear" w:color="000000" w:fill="FFFFFF"/>
            <w:noWrap/>
            <w:vAlign w:val="center"/>
            <w:hideMark/>
          </w:tcPr>
          <w:p w14:paraId="10BE08A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3E839AB2"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6002483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9</w:t>
            </w:r>
          </w:p>
        </w:tc>
        <w:tc>
          <w:tcPr>
            <w:tcW w:w="980" w:type="dxa"/>
            <w:tcBorders>
              <w:top w:val="nil"/>
              <w:left w:val="nil"/>
              <w:bottom w:val="single" w:sz="4" w:space="0" w:color="auto"/>
              <w:right w:val="single" w:sz="4" w:space="0" w:color="auto"/>
            </w:tcBorders>
            <w:shd w:val="clear" w:color="000000" w:fill="C0C0C0"/>
            <w:noWrap/>
            <w:vAlign w:val="center"/>
            <w:hideMark/>
          </w:tcPr>
          <w:p w14:paraId="529868D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FK4</w:t>
            </w:r>
          </w:p>
        </w:tc>
        <w:tc>
          <w:tcPr>
            <w:tcW w:w="1120" w:type="dxa"/>
            <w:tcBorders>
              <w:top w:val="nil"/>
              <w:left w:val="nil"/>
              <w:bottom w:val="single" w:sz="4" w:space="0" w:color="auto"/>
              <w:right w:val="single" w:sz="4" w:space="0" w:color="auto"/>
            </w:tcBorders>
            <w:shd w:val="clear" w:color="000000" w:fill="FFFFFF"/>
            <w:noWrap/>
            <w:vAlign w:val="center"/>
            <w:hideMark/>
          </w:tcPr>
          <w:p w14:paraId="3BFB3FFF"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,722</w:t>
            </w:r>
          </w:p>
        </w:tc>
        <w:tc>
          <w:tcPr>
            <w:tcW w:w="840" w:type="dxa"/>
            <w:tcBorders>
              <w:top w:val="nil"/>
              <w:left w:val="nil"/>
              <w:bottom w:val="single" w:sz="4" w:space="0" w:color="auto"/>
              <w:right w:val="single" w:sz="4" w:space="0" w:color="auto"/>
            </w:tcBorders>
            <w:shd w:val="clear" w:color="000000" w:fill="FFFFFF"/>
            <w:noWrap/>
            <w:vAlign w:val="center"/>
            <w:hideMark/>
          </w:tcPr>
          <w:p w14:paraId="30D2FA7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28DEB4F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02D14180"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31</w:t>
            </w:r>
          </w:p>
        </w:tc>
        <w:tc>
          <w:tcPr>
            <w:tcW w:w="980" w:type="dxa"/>
            <w:tcBorders>
              <w:top w:val="nil"/>
              <w:left w:val="nil"/>
              <w:bottom w:val="single" w:sz="4" w:space="0" w:color="auto"/>
              <w:right w:val="single" w:sz="4" w:space="0" w:color="auto"/>
            </w:tcBorders>
            <w:shd w:val="clear" w:color="000000" w:fill="C0C0C0"/>
            <w:noWrap/>
            <w:vAlign w:val="center"/>
            <w:hideMark/>
          </w:tcPr>
          <w:p w14:paraId="30CA6FD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PR2</w:t>
            </w:r>
          </w:p>
        </w:tc>
        <w:tc>
          <w:tcPr>
            <w:tcW w:w="1120" w:type="dxa"/>
            <w:tcBorders>
              <w:top w:val="nil"/>
              <w:left w:val="nil"/>
              <w:bottom w:val="single" w:sz="4" w:space="0" w:color="auto"/>
              <w:right w:val="single" w:sz="4" w:space="0" w:color="auto"/>
            </w:tcBorders>
            <w:shd w:val="clear" w:color="000000" w:fill="FFFFFF"/>
            <w:noWrap/>
            <w:vAlign w:val="center"/>
            <w:hideMark/>
          </w:tcPr>
          <w:p w14:paraId="6131689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3F875A4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,745</w:t>
            </w:r>
          </w:p>
        </w:tc>
        <w:tc>
          <w:tcPr>
            <w:tcW w:w="1275" w:type="dxa"/>
            <w:tcBorders>
              <w:top w:val="nil"/>
              <w:left w:val="nil"/>
              <w:bottom w:val="single" w:sz="4" w:space="0" w:color="auto"/>
              <w:right w:val="single" w:sz="4" w:space="0" w:color="auto"/>
            </w:tcBorders>
            <w:shd w:val="clear" w:color="000000" w:fill="FFFFFF"/>
            <w:noWrap/>
            <w:vAlign w:val="center"/>
            <w:hideMark/>
          </w:tcPr>
          <w:p w14:paraId="469E35D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4C461006"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59D27D9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10</w:t>
            </w:r>
          </w:p>
        </w:tc>
        <w:tc>
          <w:tcPr>
            <w:tcW w:w="980" w:type="dxa"/>
            <w:tcBorders>
              <w:top w:val="nil"/>
              <w:left w:val="nil"/>
              <w:bottom w:val="single" w:sz="4" w:space="0" w:color="auto"/>
              <w:right w:val="single" w:sz="4" w:space="0" w:color="auto"/>
            </w:tcBorders>
            <w:shd w:val="clear" w:color="000000" w:fill="C0C0C0"/>
            <w:noWrap/>
            <w:vAlign w:val="center"/>
            <w:hideMark/>
          </w:tcPr>
          <w:p w14:paraId="7B2935BD"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FK5</w:t>
            </w:r>
          </w:p>
        </w:tc>
        <w:tc>
          <w:tcPr>
            <w:tcW w:w="1120" w:type="dxa"/>
            <w:tcBorders>
              <w:top w:val="nil"/>
              <w:left w:val="nil"/>
              <w:bottom w:val="single" w:sz="4" w:space="0" w:color="auto"/>
              <w:right w:val="single" w:sz="4" w:space="0" w:color="auto"/>
            </w:tcBorders>
            <w:shd w:val="clear" w:color="000000" w:fill="FFFFFF"/>
            <w:noWrap/>
            <w:vAlign w:val="center"/>
            <w:hideMark/>
          </w:tcPr>
          <w:p w14:paraId="76FF87B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,694</w:t>
            </w:r>
          </w:p>
        </w:tc>
        <w:tc>
          <w:tcPr>
            <w:tcW w:w="840" w:type="dxa"/>
            <w:tcBorders>
              <w:top w:val="nil"/>
              <w:left w:val="nil"/>
              <w:bottom w:val="single" w:sz="4" w:space="0" w:color="auto"/>
              <w:right w:val="single" w:sz="4" w:space="0" w:color="auto"/>
            </w:tcBorders>
            <w:shd w:val="clear" w:color="000000" w:fill="FFFFFF"/>
            <w:noWrap/>
            <w:vAlign w:val="center"/>
            <w:hideMark/>
          </w:tcPr>
          <w:p w14:paraId="4406ABF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4F00AC0D"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67D54FD4"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32</w:t>
            </w:r>
          </w:p>
        </w:tc>
        <w:tc>
          <w:tcPr>
            <w:tcW w:w="980" w:type="dxa"/>
            <w:tcBorders>
              <w:top w:val="nil"/>
              <w:left w:val="nil"/>
              <w:bottom w:val="single" w:sz="4" w:space="0" w:color="auto"/>
              <w:right w:val="single" w:sz="4" w:space="0" w:color="auto"/>
            </w:tcBorders>
            <w:shd w:val="clear" w:color="000000" w:fill="C0C0C0"/>
            <w:noWrap/>
            <w:vAlign w:val="center"/>
            <w:hideMark/>
          </w:tcPr>
          <w:p w14:paraId="7D64617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PR3</w:t>
            </w:r>
          </w:p>
        </w:tc>
        <w:tc>
          <w:tcPr>
            <w:tcW w:w="1120" w:type="dxa"/>
            <w:tcBorders>
              <w:top w:val="nil"/>
              <w:left w:val="nil"/>
              <w:bottom w:val="single" w:sz="4" w:space="0" w:color="auto"/>
              <w:right w:val="single" w:sz="4" w:space="0" w:color="auto"/>
            </w:tcBorders>
            <w:shd w:val="clear" w:color="000000" w:fill="FFFFFF"/>
            <w:noWrap/>
            <w:vAlign w:val="center"/>
            <w:hideMark/>
          </w:tcPr>
          <w:p w14:paraId="0EFAF556"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4CA28A3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,759</w:t>
            </w:r>
          </w:p>
        </w:tc>
        <w:tc>
          <w:tcPr>
            <w:tcW w:w="1275" w:type="dxa"/>
            <w:tcBorders>
              <w:top w:val="nil"/>
              <w:left w:val="nil"/>
              <w:bottom w:val="single" w:sz="4" w:space="0" w:color="auto"/>
              <w:right w:val="single" w:sz="4" w:space="0" w:color="auto"/>
            </w:tcBorders>
            <w:shd w:val="clear" w:color="000000" w:fill="FFFFFF"/>
            <w:noWrap/>
            <w:vAlign w:val="center"/>
            <w:hideMark/>
          </w:tcPr>
          <w:p w14:paraId="129DD6C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519C54C5"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36E18DB2"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11</w:t>
            </w:r>
          </w:p>
        </w:tc>
        <w:tc>
          <w:tcPr>
            <w:tcW w:w="980" w:type="dxa"/>
            <w:tcBorders>
              <w:top w:val="nil"/>
              <w:left w:val="nil"/>
              <w:bottom w:val="single" w:sz="4" w:space="0" w:color="auto"/>
              <w:right w:val="single" w:sz="4" w:space="0" w:color="auto"/>
            </w:tcBorders>
            <w:shd w:val="clear" w:color="000000" w:fill="C0C0C0"/>
            <w:noWrap/>
            <w:vAlign w:val="center"/>
            <w:hideMark/>
          </w:tcPr>
          <w:p w14:paraId="0605C58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KK1</w:t>
            </w:r>
          </w:p>
        </w:tc>
        <w:tc>
          <w:tcPr>
            <w:tcW w:w="1120" w:type="dxa"/>
            <w:tcBorders>
              <w:top w:val="nil"/>
              <w:left w:val="nil"/>
              <w:bottom w:val="single" w:sz="4" w:space="0" w:color="auto"/>
              <w:right w:val="single" w:sz="4" w:space="0" w:color="auto"/>
            </w:tcBorders>
            <w:shd w:val="clear" w:color="000000" w:fill="FFFFFF"/>
            <w:noWrap/>
            <w:vAlign w:val="center"/>
            <w:hideMark/>
          </w:tcPr>
          <w:p w14:paraId="26767F31"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AFA3D6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5D12D15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,606</w:t>
            </w:r>
          </w:p>
        </w:tc>
        <w:tc>
          <w:tcPr>
            <w:tcW w:w="456" w:type="dxa"/>
            <w:tcBorders>
              <w:top w:val="nil"/>
              <w:left w:val="nil"/>
              <w:bottom w:val="single" w:sz="4" w:space="0" w:color="auto"/>
              <w:right w:val="single" w:sz="4" w:space="0" w:color="auto"/>
            </w:tcBorders>
            <w:shd w:val="clear" w:color="auto" w:fill="BFBFBF"/>
            <w:noWrap/>
            <w:vAlign w:val="bottom"/>
            <w:hideMark/>
          </w:tcPr>
          <w:p w14:paraId="35F5DB8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33</w:t>
            </w:r>
          </w:p>
        </w:tc>
        <w:tc>
          <w:tcPr>
            <w:tcW w:w="980" w:type="dxa"/>
            <w:tcBorders>
              <w:top w:val="nil"/>
              <w:left w:val="nil"/>
              <w:bottom w:val="single" w:sz="4" w:space="0" w:color="auto"/>
              <w:right w:val="single" w:sz="4" w:space="0" w:color="auto"/>
            </w:tcBorders>
            <w:shd w:val="clear" w:color="000000" w:fill="C0C0C0"/>
            <w:noWrap/>
            <w:vAlign w:val="center"/>
            <w:hideMark/>
          </w:tcPr>
          <w:p w14:paraId="33F3E3F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PR4</w:t>
            </w:r>
          </w:p>
        </w:tc>
        <w:tc>
          <w:tcPr>
            <w:tcW w:w="1120" w:type="dxa"/>
            <w:tcBorders>
              <w:top w:val="nil"/>
              <w:left w:val="nil"/>
              <w:bottom w:val="single" w:sz="4" w:space="0" w:color="auto"/>
              <w:right w:val="single" w:sz="4" w:space="0" w:color="auto"/>
            </w:tcBorders>
            <w:shd w:val="clear" w:color="000000" w:fill="FFFFFF"/>
            <w:noWrap/>
            <w:vAlign w:val="center"/>
            <w:hideMark/>
          </w:tcPr>
          <w:p w14:paraId="2E7C9834"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7CE7BBD5"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,744</w:t>
            </w:r>
          </w:p>
        </w:tc>
        <w:tc>
          <w:tcPr>
            <w:tcW w:w="1275" w:type="dxa"/>
            <w:tcBorders>
              <w:top w:val="nil"/>
              <w:left w:val="nil"/>
              <w:bottom w:val="single" w:sz="4" w:space="0" w:color="auto"/>
              <w:right w:val="single" w:sz="4" w:space="0" w:color="auto"/>
            </w:tcBorders>
            <w:shd w:val="clear" w:color="000000" w:fill="FFFFFF"/>
            <w:noWrap/>
            <w:vAlign w:val="center"/>
            <w:hideMark/>
          </w:tcPr>
          <w:p w14:paraId="611DDC61"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0FBC0B72"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756CFA1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12</w:t>
            </w:r>
          </w:p>
        </w:tc>
        <w:tc>
          <w:tcPr>
            <w:tcW w:w="980" w:type="dxa"/>
            <w:tcBorders>
              <w:top w:val="nil"/>
              <w:left w:val="nil"/>
              <w:bottom w:val="single" w:sz="4" w:space="0" w:color="auto"/>
              <w:right w:val="single" w:sz="4" w:space="0" w:color="auto"/>
            </w:tcBorders>
            <w:shd w:val="clear" w:color="000000" w:fill="C0C0C0"/>
            <w:noWrap/>
            <w:vAlign w:val="center"/>
            <w:hideMark/>
          </w:tcPr>
          <w:p w14:paraId="70C3D744"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KK2</w:t>
            </w:r>
          </w:p>
        </w:tc>
        <w:tc>
          <w:tcPr>
            <w:tcW w:w="1120" w:type="dxa"/>
            <w:tcBorders>
              <w:top w:val="nil"/>
              <w:left w:val="nil"/>
              <w:bottom w:val="single" w:sz="4" w:space="0" w:color="auto"/>
              <w:right w:val="single" w:sz="4" w:space="0" w:color="auto"/>
            </w:tcBorders>
            <w:shd w:val="clear" w:color="000000" w:fill="FFFFFF"/>
            <w:noWrap/>
            <w:vAlign w:val="center"/>
            <w:hideMark/>
          </w:tcPr>
          <w:p w14:paraId="2426367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904BA0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7561012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,791</w:t>
            </w:r>
          </w:p>
        </w:tc>
        <w:tc>
          <w:tcPr>
            <w:tcW w:w="456" w:type="dxa"/>
            <w:tcBorders>
              <w:top w:val="nil"/>
              <w:left w:val="nil"/>
              <w:bottom w:val="single" w:sz="4" w:space="0" w:color="auto"/>
              <w:right w:val="single" w:sz="4" w:space="0" w:color="auto"/>
            </w:tcBorders>
            <w:shd w:val="clear" w:color="auto" w:fill="BFBFBF"/>
            <w:noWrap/>
            <w:vAlign w:val="bottom"/>
            <w:hideMark/>
          </w:tcPr>
          <w:p w14:paraId="2576C70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34</w:t>
            </w:r>
          </w:p>
        </w:tc>
        <w:tc>
          <w:tcPr>
            <w:tcW w:w="980" w:type="dxa"/>
            <w:tcBorders>
              <w:top w:val="nil"/>
              <w:left w:val="nil"/>
              <w:bottom w:val="single" w:sz="4" w:space="0" w:color="auto"/>
              <w:right w:val="single" w:sz="4" w:space="0" w:color="auto"/>
            </w:tcBorders>
            <w:shd w:val="clear" w:color="000000" w:fill="C0C0C0"/>
            <w:noWrap/>
            <w:vAlign w:val="center"/>
            <w:hideMark/>
          </w:tcPr>
          <w:p w14:paraId="58BE53D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PR5</w:t>
            </w:r>
          </w:p>
        </w:tc>
        <w:tc>
          <w:tcPr>
            <w:tcW w:w="1120" w:type="dxa"/>
            <w:tcBorders>
              <w:top w:val="nil"/>
              <w:left w:val="nil"/>
              <w:bottom w:val="single" w:sz="4" w:space="0" w:color="auto"/>
              <w:right w:val="single" w:sz="4" w:space="0" w:color="auto"/>
            </w:tcBorders>
            <w:shd w:val="clear" w:color="000000" w:fill="FFFFFF"/>
            <w:noWrap/>
            <w:vAlign w:val="center"/>
            <w:hideMark/>
          </w:tcPr>
          <w:p w14:paraId="18A392C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5642F286"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,738</w:t>
            </w:r>
          </w:p>
        </w:tc>
        <w:tc>
          <w:tcPr>
            <w:tcW w:w="1275" w:type="dxa"/>
            <w:tcBorders>
              <w:top w:val="nil"/>
              <w:left w:val="nil"/>
              <w:bottom w:val="single" w:sz="4" w:space="0" w:color="auto"/>
              <w:right w:val="single" w:sz="4" w:space="0" w:color="auto"/>
            </w:tcBorders>
            <w:shd w:val="clear" w:color="000000" w:fill="FFFFFF"/>
            <w:noWrap/>
            <w:vAlign w:val="center"/>
            <w:hideMark/>
          </w:tcPr>
          <w:p w14:paraId="615EDFC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349D9FE2"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3C0FDDB2"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13</w:t>
            </w:r>
          </w:p>
        </w:tc>
        <w:tc>
          <w:tcPr>
            <w:tcW w:w="980" w:type="dxa"/>
            <w:tcBorders>
              <w:top w:val="nil"/>
              <w:left w:val="nil"/>
              <w:bottom w:val="single" w:sz="4" w:space="0" w:color="auto"/>
              <w:right w:val="single" w:sz="4" w:space="0" w:color="auto"/>
            </w:tcBorders>
            <w:shd w:val="clear" w:color="000000" w:fill="C0C0C0"/>
            <w:noWrap/>
            <w:vAlign w:val="center"/>
            <w:hideMark/>
          </w:tcPr>
          <w:p w14:paraId="47B8C1D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KK3</w:t>
            </w:r>
          </w:p>
        </w:tc>
        <w:tc>
          <w:tcPr>
            <w:tcW w:w="1120" w:type="dxa"/>
            <w:tcBorders>
              <w:top w:val="nil"/>
              <w:left w:val="nil"/>
              <w:bottom w:val="single" w:sz="4" w:space="0" w:color="auto"/>
              <w:right w:val="single" w:sz="4" w:space="0" w:color="auto"/>
            </w:tcBorders>
            <w:shd w:val="clear" w:color="000000" w:fill="FFFFFF"/>
            <w:noWrap/>
            <w:vAlign w:val="center"/>
            <w:hideMark/>
          </w:tcPr>
          <w:p w14:paraId="15F2311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7516E1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59F80C3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,824</w:t>
            </w:r>
          </w:p>
        </w:tc>
        <w:tc>
          <w:tcPr>
            <w:tcW w:w="456" w:type="dxa"/>
            <w:tcBorders>
              <w:top w:val="nil"/>
              <w:left w:val="nil"/>
              <w:bottom w:val="single" w:sz="4" w:space="0" w:color="auto"/>
              <w:right w:val="single" w:sz="4" w:space="0" w:color="auto"/>
            </w:tcBorders>
            <w:shd w:val="clear" w:color="auto" w:fill="BFBFBF"/>
            <w:noWrap/>
            <w:vAlign w:val="bottom"/>
            <w:hideMark/>
          </w:tcPr>
          <w:p w14:paraId="1BF980DC"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35</w:t>
            </w:r>
          </w:p>
        </w:tc>
        <w:tc>
          <w:tcPr>
            <w:tcW w:w="980" w:type="dxa"/>
            <w:tcBorders>
              <w:top w:val="nil"/>
              <w:left w:val="nil"/>
              <w:bottom w:val="single" w:sz="4" w:space="0" w:color="auto"/>
              <w:right w:val="single" w:sz="4" w:space="0" w:color="auto"/>
            </w:tcBorders>
            <w:shd w:val="clear" w:color="000000" w:fill="C0C0C0"/>
            <w:noWrap/>
            <w:vAlign w:val="center"/>
            <w:hideMark/>
          </w:tcPr>
          <w:p w14:paraId="4DD13A7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RL1</w:t>
            </w:r>
          </w:p>
        </w:tc>
        <w:tc>
          <w:tcPr>
            <w:tcW w:w="1120" w:type="dxa"/>
            <w:tcBorders>
              <w:top w:val="nil"/>
              <w:left w:val="nil"/>
              <w:bottom w:val="single" w:sz="4" w:space="0" w:color="auto"/>
              <w:right w:val="single" w:sz="4" w:space="0" w:color="auto"/>
            </w:tcBorders>
            <w:shd w:val="clear" w:color="000000" w:fill="FFFFFF"/>
            <w:noWrap/>
            <w:vAlign w:val="center"/>
            <w:hideMark/>
          </w:tcPr>
          <w:p w14:paraId="6EBC7FB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,709</w:t>
            </w:r>
          </w:p>
        </w:tc>
        <w:tc>
          <w:tcPr>
            <w:tcW w:w="860" w:type="dxa"/>
            <w:tcBorders>
              <w:top w:val="nil"/>
              <w:left w:val="nil"/>
              <w:bottom w:val="single" w:sz="4" w:space="0" w:color="auto"/>
              <w:right w:val="single" w:sz="4" w:space="0" w:color="auto"/>
            </w:tcBorders>
            <w:shd w:val="clear" w:color="000000" w:fill="FFFFFF"/>
            <w:noWrap/>
            <w:vAlign w:val="center"/>
            <w:hideMark/>
          </w:tcPr>
          <w:p w14:paraId="507D11F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6927BD7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2E9479E9"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1E0B666A"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14</w:t>
            </w:r>
          </w:p>
        </w:tc>
        <w:tc>
          <w:tcPr>
            <w:tcW w:w="980" w:type="dxa"/>
            <w:tcBorders>
              <w:top w:val="nil"/>
              <w:left w:val="nil"/>
              <w:bottom w:val="single" w:sz="4" w:space="0" w:color="auto"/>
              <w:right w:val="single" w:sz="4" w:space="0" w:color="auto"/>
            </w:tcBorders>
            <w:shd w:val="clear" w:color="000000" w:fill="C0C0C0"/>
            <w:noWrap/>
            <w:vAlign w:val="center"/>
            <w:hideMark/>
          </w:tcPr>
          <w:p w14:paraId="3664A4A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KK4</w:t>
            </w:r>
          </w:p>
        </w:tc>
        <w:tc>
          <w:tcPr>
            <w:tcW w:w="1120" w:type="dxa"/>
            <w:tcBorders>
              <w:top w:val="nil"/>
              <w:left w:val="nil"/>
              <w:bottom w:val="single" w:sz="4" w:space="0" w:color="auto"/>
              <w:right w:val="single" w:sz="4" w:space="0" w:color="auto"/>
            </w:tcBorders>
            <w:shd w:val="clear" w:color="000000" w:fill="FFFFFF"/>
            <w:noWrap/>
            <w:vAlign w:val="center"/>
            <w:hideMark/>
          </w:tcPr>
          <w:p w14:paraId="4E0DAB0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D6812B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1CA4215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,785</w:t>
            </w:r>
          </w:p>
        </w:tc>
        <w:tc>
          <w:tcPr>
            <w:tcW w:w="456" w:type="dxa"/>
            <w:tcBorders>
              <w:top w:val="nil"/>
              <w:left w:val="nil"/>
              <w:bottom w:val="single" w:sz="4" w:space="0" w:color="auto"/>
              <w:right w:val="single" w:sz="4" w:space="0" w:color="auto"/>
            </w:tcBorders>
            <w:shd w:val="clear" w:color="auto" w:fill="BFBFBF"/>
            <w:noWrap/>
            <w:vAlign w:val="bottom"/>
            <w:hideMark/>
          </w:tcPr>
          <w:p w14:paraId="5FA025D4"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36</w:t>
            </w:r>
          </w:p>
        </w:tc>
        <w:tc>
          <w:tcPr>
            <w:tcW w:w="980" w:type="dxa"/>
            <w:tcBorders>
              <w:top w:val="nil"/>
              <w:left w:val="nil"/>
              <w:bottom w:val="single" w:sz="4" w:space="0" w:color="auto"/>
              <w:right w:val="single" w:sz="4" w:space="0" w:color="auto"/>
            </w:tcBorders>
            <w:shd w:val="clear" w:color="000000" w:fill="C0C0C0"/>
            <w:noWrap/>
            <w:vAlign w:val="center"/>
            <w:hideMark/>
          </w:tcPr>
          <w:p w14:paraId="1DD80F5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RL2</w:t>
            </w:r>
          </w:p>
        </w:tc>
        <w:tc>
          <w:tcPr>
            <w:tcW w:w="1120" w:type="dxa"/>
            <w:tcBorders>
              <w:top w:val="nil"/>
              <w:left w:val="nil"/>
              <w:bottom w:val="single" w:sz="4" w:space="0" w:color="auto"/>
              <w:right w:val="single" w:sz="4" w:space="0" w:color="auto"/>
            </w:tcBorders>
            <w:shd w:val="clear" w:color="000000" w:fill="FFFFFF"/>
            <w:noWrap/>
            <w:vAlign w:val="center"/>
            <w:hideMark/>
          </w:tcPr>
          <w:p w14:paraId="04D0F724"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,789</w:t>
            </w:r>
          </w:p>
        </w:tc>
        <w:tc>
          <w:tcPr>
            <w:tcW w:w="860" w:type="dxa"/>
            <w:tcBorders>
              <w:top w:val="nil"/>
              <w:left w:val="nil"/>
              <w:bottom w:val="single" w:sz="4" w:space="0" w:color="auto"/>
              <w:right w:val="single" w:sz="4" w:space="0" w:color="auto"/>
            </w:tcBorders>
            <w:shd w:val="clear" w:color="000000" w:fill="FFFFFF"/>
            <w:noWrap/>
            <w:vAlign w:val="center"/>
            <w:hideMark/>
          </w:tcPr>
          <w:p w14:paraId="5FA5C996"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633717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1975FCCF"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1115A26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15</w:t>
            </w:r>
          </w:p>
        </w:tc>
        <w:tc>
          <w:tcPr>
            <w:tcW w:w="980" w:type="dxa"/>
            <w:tcBorders>
              <w:top w:val="nil"/>
              <w:left w:val="nil"/>
              <w:bottom w:val="single" w:sz="4" w:space="0" w:color="auto"/>
              <w:right w:val="single" w:sz="4" w:space="0" w:color="auto"/>
            </w:tcBorders>
            <w:shd w:val="clear" w:color="000000" w:fill="C0C0C0"/>
            <w:noWrap/>
            <w:vAlign w:val="center"/>
            <w:hideMark/>
          </w:tcPr>
          <w:p w14:paraId="0604438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KK5</w:t>
            </w:r>
          </w:p>
        </w:tc>
        <w:tc>
          <w:tcPr>
            <w:tcW w:w="1120" w:type="dxa"/>
            <w:tcBorders>
              <w:top w:val="nil"/>
              <w:left w:val="nil"/>
              <w:bottom w:val="single" w:sz="4" w:space="0" w:color="auto"/>
              <w:right w:val="single" w:sz="4" w:space="0" w:color="auto"/>
            </w:tcBorders>
            <w:shd w:val="clear" w:color="000000" w:fill="FFFFFF"/>
            <w:noWrap/>
            <w:vAlign w:val="center"/>
            <w:hideMark/>
          </w:tcPr>
          <w:p w14:paraId="6CA054E8"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DE63C9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64AE834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,691</w:t>
            </w:r>
          </w:p>
        </w:tc>
        <w:tc>
          <w:tcPr>
            <w:tcW w:w="456" w:type="dxa"/>
            <w:tcBorders>
              <w:top w:val="nil"/>
              <w:left w:val="nil"/>
              <w:bottom w:val="single" w:sz="4" w:space="0" w:color="auto"/>
              <w:right w:val="single" w:sz="4" w:space="0" w:color="auto"/>
            </w:tcBorders>
            <w:shd w:val="clear" w:color="auto" w:fill="BFBFBF"/>
            <w:noWrap/>
            <w:vAlign w:val="bottom"/>
            <w:hideMark/>
          </w:tcPr>
          <w:p w14:paraId="15EF3D9F"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37</w:t>
            </w:r>
          </w:p>
        </w:tc>
        <w:tc>
          <w:tcPr>
            <w:tcW w:w="980" w:type="dxa"/>
            <w:tcBorders>
              <w:top w:val="nil"/>
              <w:left w:val="nil"/>
              <w:bottom w:val="single" w:sz="4" w:space="0" w:color="auto"/>
              <w:right w:val="single" w:sz="4" w:space="0" w:color="auto"/>
            </w:tcBorders>
            <w:shd w:val="clear" w:color="000000" w:fill="C0C0C0"/>
            <w:noWrap/>
            <w:vAlign w:val="center"/>
            <w:hideMark/>
          </w:tcPr>
          <w:p w14:paraId="161BB5C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RL3</w:t>
            </w:r>
          </w:p>
        </w:tc>
        <w:tc>
          <w:tcPr>
            <w:tcW w:w="1120" w:type="dxa"/>
            <w:tcBorders>
              <w:top w:val="nil"/>
              <w:left w:val="nil"/>
              <w:bottom w:val="single" w:sz="4" w:space="0" w:color="auto"/>
              <w:right w:val="single" w:sz="4" w:space="0" w:color="auto"/>
            </w:tcBorders>
            <w:shd w:val="clear" w:color="000000" w:fill="FFFFFF"/>
            <w:noWrap/>
            <w:vAlign w:val="center"/>
            <w:hideMark/>
          </w:tcPr>
          <w:p w14:paraId="40199C43"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,688</w:t>
            </w:r>
          </w:p>
        </w:tc>
        <w:tc>
          <w:tcPr>
            <w:tcW w:w="860" w:type="dxa"/>
            <w:tcBorders>
              <w:top w:val="nil"/>
              <w:left w:val="nil"/>
              <w:bottom w:val="single" w:sz="4" w:space="0" w:color="auto"/>
              <w:right w:val="single" w:sz="4" w:space="0" w:color="auto"/>
            </w:tcBorders>
            <w:shd w:val="clear" w:color="000000" w:fill="FFFFFF"/>
            <w:noWrap/>
            <w:vAlign w:val="center"/>
            <w:hideMark/>
          </w:tcPr>
          <w:p w14:paraId="318C91A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8BD83C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56C5C655"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5E7040A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16</w:t>
            </w:r>
          </w:p>
        </w:tc>
        <w:tc>
          <w:tcPr>
            <w:tcW w:w="980" w:type="dxa"/>
            <w:tcBorders>
              <w:top w:val="nil"/>
              <w:left w:val="nil"/>
              <w:bottom w:val="single" w:sz="4" w:space="0" w:color="auto"/>
              <w:right w:val="single" w:sz="4" w:space="0" w:color="auto"/>
            </w:tcBorders>
            <w:shd w:val="clear" w:color="000000" w:fill="C0C0C0"/>
            <w:noWrap/>
            <w:vAlign w:val="center"/>
            <w:hideMark/>
          </w:tcPr>
          <w:p w14:paraId="136C398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KL1</w:t>
            </w:r>
          </w:p>
        </w:tc>
        <w:tc>
          <w:tcPr>
            <w:tcW w:w="1120" w:type="dxa"/>
            <w:tcBorders>
              <w:top w:val="nil"/>
              <w:left w:val="nil"/>
              <w:bottom w:val="single" w:sz="4" w:space="0" w:color="auto"/>
              <w:right w:val="single" w:sz="4" w:space="0" w:color="auto"/>
            </w:tcBorders>
            <w:shd w:val="clear" w:color="000000" w:fill="FFFFFF"/>
            <w:noWrap/>
            <w:vAlign w:val="center"/>
            <w:hideMark/>
          </w:tcPr>
          <w:p w14:paraId="39E6DB9C"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,726</w:t>
            </w:r>
          </w:p>
        </w:tc>
        <w:tc>
          <w:tcPr>
            <w:tcW w:w="840" w:type="dxa"/>
            <w:tcBorders>
              <w:top w:val="nil"/>
              <w:left w:val="nil"/>
              <w:bottom w:val="single" w:sz="4" w:space="0" w:color="auto"/>
              <w:right w:val="single" w:sz="4" w:space="0" w:color="auto"/>
            </w:tcBorders>
            <w:shd w:val="clear" w:color="000000" w:fill="FFFFFF"/>
            <w:noWrap/>
            <w:vAlign w:val="center"/>
            <w:hideMark/>
          </w:tcPr>
          <w:p w14:paraId="6883D00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23D08D0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12BE783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38</w:t>
            </w:r>
          </w:p>
        </w:tc>
        <w:tc>
          <w:tcPr>
            <w:tcW w:w="980" w:type="dxa"/>
            <w:tcBorders>
              <w:top w:val="nil"/>
              <w:left w:val="nil"/>
              <w:bottom w:val="single" w:sz="4" w:space="0" w:color="auto"/>
              <w:right w:val="single" w:sz="4" w:space="0" w:color="auto"/>
            </w:tcBorders>
            <w:shd w:val="clear" w:color="000000" w:fill="C0C0C0"/>
            <w:noWrap/>
            <w:vAlign w:val="center"/>
            <w:hideMark/>
          </w:tcPr>
          <w:p w14:paraId="3016C4CD"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RL4</w:t>
            </w:r>
          </w:p>
        </w:tc>
        <w:tc>
          <w:tcPr>
            <w:tcW w:w="1120" w:type="dxa"/>
            <w:tcBorders>
              <w:top w:val="nil"/>
              <w:left w:val="nil"/>
              <w:bottom w:val="single" w:sz="4" w:space="0" w:color="auto"/>
              <w:right w:val="single" w:sz="4" w:space="0" w:color="auto"/>
            </w:tcBorders>
            <w:shd w:val="clear" w:color="000000" w:fill="FFFFFF"/>
            <w:noWrap/>
            <w:vAlign w:val="center"/>
            <w:hideMark/>
          </w:tcPr>
          <w:p w14:paraId="7488B8BF"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,682</w:t>
            </w:r>
          </w:p>
        </w:tc>
        <w:tc>
          <w:tcPr>
            <w:tcW w:w="860" w:type="dxa"/>
            <w:tcBorders>
              <w:top w:val="nil"/>
              <w:left w:val="nil"/>
              <w:bottom w:val="single" w:sz="4" w:space="0" w:color="auto"/>
              <w:right w:val="single" w:sz="4" w:space="0" w:color="auto"/>
            </w:tcBorders>
            <w:shd w:val="clear" w:color="000000" w:fill="FFFFFF"/>
            <w:noWrap/>
            <w:vAlign w:val="center"/>
            <w:hideMark/>
          </w:tcPr>
          <w:p w14:paraId="3C24742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5D88738D"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7EAEB6A6"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7C568A1C"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17</w:t>
            </w:r>
          </w:p>
        </w:tc>
        <w:tc>
          <w:tcPr>
            <w:tcW w:w="980" w:type="dxa"/>
            <w:tcBorders>
              <w:top w:val="nil"/>
              <w:left w:val="nil"/>
              <w:bottom w:val="single" w:sz="4" w:space="0" w:color="auto"/>
              <w:right w:val="single" w:sz="4" w:space="0" w:color="auto"/>
            </w:tcBorders>
            <w:shd w:val="clear" w:color="000000" w:fill="C0C0C0"/>
            <w:noWrap/>
            <w:vAlign w:val="center"/>
            <w:hideMark/>
          </w:tcPr>
          <w:p w14:paraId="1EFD4F3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KL2</w:t>
            </w:r>
          </w:p>
        </w:tc>
        <w:tc>
          <w:tcPr>
            <w:tcW w:w="1120" w:type="dxa"/>
            <w:tcBorders>
              <w:top w:val="nil"/>
              <w:left w:val="nil"/>
              <w:bottom w:val="single" w:sz="4" w:space="0" w:color="auto"/>
              <w:right w:val="single" w:sz="4" w:space="0" w:color="auto"/>
            </w:tcBorders>
            <w:shd w:val="clear" w:color="000000" w:fill="FFFFFF"/>
            <w:noWrap/>
            <w:vAlign w:val="center"/>
            <w:hideMark/>
          </w:tcPr>
          <w:p w14:paraId="76D4619E"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,794</w:t>
            </w:r>
          </w:p>
        </w:tc>
        <w:tc>
          <w:tcPr>
            <w:tcW w:w="840" w:type="dxa"/>
            <w:tcBorders>
              <w:top w:val="nil"/>
              <w:left w:val="nil"/>
              <w:bottom w:val="single" w:sz="4" w:space="0" w:color="auto"/>
              <w:right w:val="single" w:sz="4" w:space="0" w:color="auto"/>
            </w:tcBorders>
            <w:shd w:val="clear" w:color="000000" w:fill="FFFFFF"/>
            <w:noWrap/>
            <w:vAlign w:val="center"/>
            <w:hideMark/>
          </w:tcPr>
          <w:p w14:paraId="4CB1E18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5F26176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535D24C2"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39</w:t>
            </w:r>
          </w:p>
        </w:tc>
        <w:tc>
          <w:tcPr>
            <w:tcW w:w="980" w:type="dxa"/>
            <w:tcBorders>
              <w:top w:val="nil"/>
              <w:left w:val="nil"/>
              <w:bottom w:val="single" w:sz="4" w:space="0" w:color="auto"/>
              <w:right w:val="single" w:sz="4" w:space="0" w:color="auto"/>
            </w:tcBorders>
            <w:shd w:val="clear" w:color="000000" w:fill="C0C0C0"/>
            <w:noWrap/>
            <w:vAlign w:val="center"/>
            <w:hideMark/>
          </w:tcPr>
          <w:p w14:paraId="37580BD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RL5</w:t>
            </w:r>
          </w:p>
        </w:tc>
        <w:tc>
          <w:tcPr>
            <w:tcW w:w="1120" w:type="dxa"/>
            <w:tcBorders>
              <w:top w:val="nil"/>
              <w:left w:val="nil"/>
              <w:bottom w:val="single" w:sz="4" w:space="0" w:color="auto"/>
              <w:right w:val="single" w:sz="4" w:space="0" w:color="auto"/>
            </w:tcBorders>
            <w:shd w:val="clear" w:color="000000" w:fill="FFFFFF"/>
            <w:noWrap/>
            <w:vAlign w:val="center"/>
            <w:hideMark/>
          </w:tcPr>
          <w:p w14:paraId="47CBA12E"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,761</w:t>
            </w:r>
          </w:p>
        </w:tc>
        <w:tc>
          <w:tcPr>
            <w:tcW w:w="860" w:type="dxa"/>
            <w:tcBorders>
              <w:top w:val="nil"/>
              <w:left w:val="nil"/>
              <w:bottom w:val="single" w:sz="4" w:space="0" w:color="auto"/>
              <w:right w:val="single" w:sz="4" w:space="0" w:color="auto"/>
            </w:tcBorders>
            <w:shd w:val="clear" w:color="000000" w:fill="FFFFFF"/>
            <w:noWrap/>
            <w:vAlign w:val="center"/>
            <w:hideMark/>
          </w:tcPr>
          <w:p w14:paraId="69F34CA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35CFC46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1D0784FF"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0FA1FB9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18</w:t>
            </w:r>
          </w:p>
        </w:tc>
        <w:tc>
          <w:tcPr>
            <w:tcW w:w="980" w:type="dxa"/>
            <w:tcBorders>
              <w:top w:val="nil"/>
              <w:left w:val="nil"/>
              <w:bottom w:val="single" w:sz="4" w:space="0" w:color="auto"/>
              <w:right w:val="single" w:sz="4" w:space="0" w:color="auto"/>
            </w:tcBorders>
            <w:shd w:val="clear" w:color="000000" w:fill="C0C0C0"/>
            <w:noWrap/>
            <w:vAlign w:val="center"/>
            <w:hideMark/>
          </w:tcPr>
          <w:p w14:paraId="543D77F1"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KL3</w:t>
            </w:r>
          </w:p>
        </w:tc>
        <w:tc>
          <w:tcPr>
            <w:tcW w:w="1120" w:type="dxa"/>
            <w:tcBorders>
              <w:top w:val="nil"/>
              <w:left w:val="nil"/>
              <w:bottom w:val="single" w:sz="4" w:space="0" w:color="auto"/>
              <w:right w:val="single" w:sz="4" w:space="0" w:color="auto"/>
            </w:tcBorders>
            <w:shd w:val="clear" w:color="000000" w:fill="FFFFFF"/>
            <w:noWrap/>
            <w:vAlign w:val="center"/>
            <w:hideMark/>
          </w:tcPr>
          <w:p w14:paraId="552F3935"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,729</w:t>
            </w:r>
          </w:p>
        </w:tc>
        <w:tc>
          <w:tcPr>
            <w:tcW w:w="840" w:type="dxa"/>
            <w:tcBorders>
              <w:top w:val="nil"/>
              <w:left w:val="nil"/>
              <w:bottom w:val="single" w:sz="4" w:space="0" w:color="auto"/>
              <w:right w:val="single" w:sz="4" w:space="0" w:color="auto"/>
            </w:tcBorders>
            <w:shd w:val="clear" w:color="000000" w:fill="FFFFFF"/>
            <w:noWrap/>
            <w:vAlign w:val="center"/>
            <w:hideMark/>
          </w:tcPr>
          <w:p w14:paraId="0FB28C3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4FBA957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4403DA0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40</w:t>
            </w:r>
          </w:p>
        </w:tc>
        <w:tc>
          <w:tcPr>
            <w:tcW w:w="980" w:type="dxa"/>
            <w:tcBorders>
              <w:top w:val="nil"/>
              <w:left w:val="nil"/>
              <w:bottom w:val="single" w:sz="4" w:space="0" w:color="auto"/>
              <w:right w:val="single" w:sz="4" w:space="0" w:color="auto"/>
            </w:tcBorders>
            <w:shd w:val="clear" w:color="000000" w:fill="C0C0C0"/>
            <w:noWrap/>
            <w:vAlign w:val="center"/>
            <w:hideMark/>
          </w:tcPr>
          <w:p w14:paraId="62CF3CE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TK1</w:t>
            </w:r>
          </w:p>
        </w:tc>
        <w:tc>
          <w:tcPr>
            <w:tcW w:w="1120" w:type="dxa"/>
            <w:tcBorders>
              <w:top w:val="nil"/>
              <w:left w:val="nil"/>
              <w:bottom w:val="single" w:sz="4" w:space="0" w:color="auto"/>
              <w:right w:val="single" w:sz="4" w:space="0" w:color="auto"/>
            </w:tcBorders>
            <w:shd w:val="clear" w:color="000000" w:fill="FFFFFF"/>
            <w:noWrap/>
            <w:vAlign w:val="center"/>
            <w:hideMark/>
          </w:tcPr>
          <w:p w14:paraId="4360D41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74B48210"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,652</w:t>
            </w:r>
          </w:p>
        </w:tc>
        <w:tc>
          <w:tcPr>
            <w:tcW w:w="1275" w:type="dxa"/>
            <w:tcBorders>
              <w:top w:val="nil"/>
              <w:left w:val="nil"/>
              <w:bottom w:val="single" w:sz="4" w:space="0" w:color="auto"/>
              <w:right w:val="single" w:sz="4" w:space="0" w:color="auto"/>
            </w:tcBorders>
            <w:shd w:val="clear" w:color="000000" w:fill="FFFFFF"/>
            <w:noWrap/>
            <w:vAlign w:val="center"/>
            <w:hideMark/>
          </w:tcPr>
          <w:p w14:paraId="4BEEA39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2646C4AB"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4485DEA3"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19</w:t>
            </w:r>
          </w:p>
        </w:tc>
        <w:tc>
          <w:tcPr>
            <w:tcW w:w="980" w:type="dxa"/>
            <w:tcBorders>
              <w:top w:val="nil"/>
              <w:left w:val="nil"/>
              <w:bottom w:val="single" w:sz="4" w:space="0" w:color="auto"/>
              <w:right w:val="single" w:sz="4" w:space="0" w:color="auto"/>
            </w:tcBorders>
            <w:shd w:val="clear" w:color="000000" w:fill="C0C0C0"/>
            <w:noWrap/>
            <w:vAlign w:val="center"/>
            <w:hideMark/>
          </w:tcPr>
          <w:p w14:paraId="5EBAEF4D"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KL4</w:t>
            </w:r>
          </w:p>
        </w:tc>
        <w:tc>
          <w:tcPr>
            <w:tcW w:w="1120" w:type="dxa"/>
            <w:tcBorders>
              <w:top w:val="nil"/>
              <w:left w:val="nil"/>
              <w:bottom w:val="single" w:sz="4" w:space="0" w:color="auto"/>
              <w:right w:val="single" w:sz="4" w:space="0" w:color="auto"/>
            </w:tcBorders>
            <w:shd w:val="clear" w:color="000000" w:fill="FFFFFF"/>
            <w:noWrap/>
            <w:vAlign w:val="center"/>
            <w:hideMark/>
          </w:tcPr>
          <w:p w14:paraId="447B3FE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,633</w:t>
            </w:r>
          </w:p>
        </w:tc>
        <w:tc>
          <w:tcPr>
            <w:tcW w:w="840" w:type="dxa"/>
            <w:tcBorders>
              <w:top w:val="nil"/>
              <w:left w:val="nil"/>
              <w:bottom w:val="single" w:sz="4" w:space="0" w:color="auto"/>
              <w:right w:val="single" w:sz="4" w:space="0" w:color="auto"/>
            </w:tcBorders>
            <w:shd w:val="clear" w:color="000000" w:fill="FFFFFF"/>
            <w:noWrap/>
            <w:vAlign w:val="center"/>
            <w:hideMark/>
          </w:tcPr>
          <w:p w14:paraId="474E6B96"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268232F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6BE9B632"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41</w:t>
            </w:r>
          </w:p>
        </w:tc>
        <w:tc>
          <w:tcPr>
            <w:tcW w:w="980" w:type="dxa"/>
            <w:tcBorders>
              <w:top w:val="nil"/>
              <w:left w:val="nil"/>
              <w:bottom w:val="single" w:sz="4" w:space="0" w:color="auto"/>
              <w:right w:val="single" w:sz="4" w:space="0" w:color="auto"/>
            </w:tcBorders>
            <w:shd w:val="clear" w:color="000000" w:fill="C0C0C0"/>
            <w:noWrap/>
            <w:vAlign w:val="center"/>
            <w:hideMark/>
          </w:tcPr>
          <w:p w14:paraId="7FFF8A28"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TK2</w:t>
            </w:r>
          </w:p>
        </w:tc>
        <w:tc>
          <w:tcPr>
            <w:tcW w:w="1120" w:type="dxa"/>
            <w:tcBorders>
              <w:top w:val="nil"/>
              <w:left w:val="nil"/>
              <w:bottom w:val="single" w:sz="4" w:space="0" w:color="auto"/>
              <w:right w:val="single" w:sz="4" w:space="0" w:color="auto"/>
            </w:tcBorders>
            <w:shd w:val="clear" w:color="000000" w:fill="FFFFFF"/>
            <w:noWrap/>
            <w:vAlign w:val="center"/>
            <w:hideMark/>
          </w:tcPr>
          <w:p w14:paraId="0964134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5F433552"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,805</w:t>
            </w:r>
          </w:p>
        </w:tc>
        <w:tc>
          <w:tcPr>
            <w:tcW w:w="1275" w:type="dxa"/>
            <w:tcBorders>
              <w:top w:val="nil"/>
              <w:left w:val="nil"/>
              <w:bottom w:val="single" w:sz="4" w:space="0" w:color="auto"/>
              <w:right w:val="single" w:sz="4" w:space="0" w:color="auto"/>
            </w:tcBorders>
            <w:shd w:val="clear" w:color="000000" w:fill="FFFFFF"/>
            <w:noWrap/>
            <w:vAlign w:val="center"/>
            <w:hideMark/>
          </w:tcPr>
          <w:p w14:paraId="3061780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32CBA727"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03F38DF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20</w:t>
            </w:r>
          </w:p>
        </w:tc>
        <w:tc>
          <w:tcPr>
            <w:tcW w:w="980" w:type="dxa"/>
            <w:tcBorders>
              <w:top w:val="nil"/>
              <w:left w:val="nil"/>
              <w:bottom w:val="single" w:sz="4" w:space="0" w:color="auto"/>
              <w:right w:val="single" w:sz="4" w:space="0" w:color="auto"/>
            </w:tcBorders>
            <w:shd w:val="clear" w:color="000000" w:fill="C0C0C0"/>
            <w:noWrap/>
            <w:vAlign w:val="center"/>
            <w:hideMark/>
          </w:tcPr>
          <w:p w14:paraId="319A1F4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KL5</w:t>
            </w:r>
          </w:p>
        </w:tc>
        <w:tc>
          <w:tcPr>
            <w:tcW w:w="1120" w:type="dxa"/>
            <w:tcBorders>
              <w:top w:val="nil"/>
              <w:left w:val="nil"/>
              <w:bottom w:val="single" w:sz="4" w:space="0" w:color="auto"/>
              <w:right w:val="single" w:sz="4" w:space="0" w:color="auto"/>
            </w:tcBorders>
            <w:shd w:val="clear" w:color="000000" w:fill="FFFFFF"/>
            <w:noWrap/>
            <w:vAlign w:val="center"/>
            <w:hideMark/>
          </w:tcPr>
          <w:p w14:paraId="00AE21B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,710</w:t>
            </w:r>
          </w:p>
        </w:tc>
        <w:tc>
          <w:tcPr>
            <w:tcW w:w="840" w:type="dxa"/>
            <w:tcBorders>
              <w:top w:val="nil"/>
              <w:left w:val="nil"/>
              <w:bottom w:val="single" w:sz="4" w:space="0" w:color="auto"/>
              <w:right w:val="single" w:sz="4" w:space="0" w:color="auto"/>
            </w:tcBorders>
            <w:shd w:val="clear" w:color="000000" w:fill="FFFFFF"/>
            <w:noWrap/>
            <w:vAlign w:val="center"/>
            <w:hideMark/>
          </w:tcPr>
          <w:p w14:paraId="33500AD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20BC13F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6A571C32"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42</w:t>
            </w:r>
          </w:p>
        </w:tc>
        <w:tc>
          <w:tcPr>
            <w:tcW w:w="980" w:type="dxa"/>
            <w:tcBorders>
              <w:top w:val="nil"/>
              <w:left w:val="nil"/>
              <w:bottom w:val="single" w:sz="4" w:space="0" w:color="auto"/>
              <w:right w:val="single" w:sz="4" w:space="0" w:color="auto"/>
            </w:tcBorders>
            <w:shd w:val="clear" w:color="000000" w:fill="C0C0C0"/>
            <w:noWrap/>
            <w:vAlign w:val="center"/>
            <w:hideMark/>
          </w:tcPr>
          <w:p w14:paraId="2AE19F7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TK3</w:t>
            </w:r>
          </w:p>
        </w:tc>
        <w:tc>
          <w:tcPr>
            <w:tcW w:w="1120" w:type="dxa"/>
            <w:tcBorders>
              <w:top w:val="nil"/>
              <w:left w:val="nil"/>
              <w:bottom w:val="single" w:sz="4" w:space="0" w:color="auto"/>
              <w:right w:val="single" w:sz="4" w:space="0" w:color="auto"/>
            </w:tcBorders>
            <w:shd w:val="clear" w:color="000000" w:fill="FFFFFF"/>
            <w:noWrap/>
            <w:vAlign w:val="center"/>
            <w:hideMark/>
          </w:tcPr>
          <w:p w14:paraId="2CAF6C9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60E617A6"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,870</w:t>
            </w:r>
          </w:p>
        </w:tc>
        <w:tc>
          <w:tcPr>
            <w:tcW w:w="1275" w:type="dxa"/>
            <w:tcBorders>
              <w:top w:val="nil"/>
              <w:left w:val="nil"/>
              <w:bottom w:val="single" w:sz="4" w:space="0" w:color="auto"/>
              <w:right w:val="single" w:sz="4" w:space="0" w:color="auto"/>
            </w:tcBorders>
            <w:shd w:val="clear" w:color="000000" w:fill="FFFFFF"/>
            <w:noWrap/>
            <w:vAlign w:val="center"/>
            <w:hideMark/>
          </w:tcPr>
          <w:p w14:paraId="762634F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2AE9CF50" w14:textId="77777777">
        <w:trPr>
          <w:trHeight w:val="315"/>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49D8438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21</w:t>
            </w:r>
          </w:p>
        </w:tc>
        <w:tc>
          <w:tcPr>
            <w:tcW w:w="980" w:type="dxa"/>
            <w:tcBorders>
              <w:top w:val="nil"/>
              <w:left w:val="nil"/>
              <w:bottom w:val="single" w:sz="4" w:space="0" w:color="auto"/>
              <w:right w:val="single" w:sz="4" w:space="0" w:color="auto"/>
            </w:tcBorders>
            <w:shd w:val="clear" w:color="000000" w:fill="C0C0C0"/>
            <w:noWrap/>
            <w:vAlign w:val="center"/>
            <w:hideMark/>
          </w:tcPr>
          <w:p w14:paraId="08A3935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KM1</w:t>
            </w:r>
          </w:p>
        </w:tc>
        <w:tc>
          <w:tcPr>
            <w:tcW w:w="1120" w:type="dxa"/>
            <w:tcBorders>
              <w:top w:val="nil"/>
              <w:left w:val="nil"/>
              <w:bottom w:val="single" w:sz="4" w:space="0" w:color="auto"/>
              <w:right w:val="single" w:sz="4" w:space="0" w:color="auto"/>
            </w:tcBorders>
            <w:shd w:val="clear" w:color="000000" w:fill="FFFFFF"/>
            <w:noWrap/>
            <w:vAlign w:val="center"/>
            <w:hideMark/>
          </w:tcPr>
          <w:p w14:paraId="06596A9F"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,690</w:t>
            </w:r>
          </w:p>
        </w:tc>
        <w:tc>
          <w:tcPr>
            <w:tcW w:w="840" w:type="dxa"/>
            <w:tcBorders>
              <w:top w:val="nil"/>
              <w:left w:val="nil"/>
              <w:bottom w:val="single" w:sz="4" w:space="0" w:color="auto"/>
              <w:right w:val="single" w:sz="4" w:space="0" w:color="auto"/>
            </w:tcBorders>
            <w:shd w:val="clear" w:color="000000" w:fill="FFFFFF"/>
            <w:noWrap/>
            <w:vAlign w:val="center"/>
            <w:hideMark/>
          </w:tcPr>
          <w:p w14:paraId="2F5C17B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7B0601D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3082ABA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43</w:t>
            </w:r>
          </w:p>
        </w:tc>
        <w:tc>
          <w:tcPr>
            <w:tcW w:w="980" w:type="dxa"/>
            <w:tcBorders>
              <w:top w:val="nil"/>
              <w:left w:val="nil"/>
              <w:bottom w:val="single" w:sz="4" w:space="0" w:color="auto"/>
              <w:right w:val="single" w:sz="4" w:space="0" w:color="auto"/>
            </w:tcBorders>
            <w:shd w:val="clear" w:color="000000" w:fill="C0C0C0"/>
            <w:noWrap/>
            <w:vAlign w:val="center"/>
            <w:hideMark/>
          </w:tcPr>
          <w:p w14:paraId="20008914"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TK4</w:t>
            </w:r>
          </w:p>
        </w:tc>
        <w:tc>
          <w:tcPr>
            <w:tcW w:w="1120" w:type="dxa"/>
            <w:tcBorders>
              <w:top w:val="nil"/>
              <w:left w:val="nil"/>
              <w:bottom w:val="single" w:sz="4" w:space="0" w:color="auto"/>
              <w:right w:val="single" w:sz="4" w:space="0" w:color="auto"/>
            </w:tcBorders>
            <w:shd w:val="clear" w:color="000000" w:fill="FFFFFF"/>
            <w:noWrap/>
            <w:vAlign w:val="center"/>
            <w:hideMark/>
          </w:tcPr>
          <w:p w14:paraId="4F978275"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02749335"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,822</w:t>
            </w:r>
          </w:p>
        </w:tc>
        <w:tc>
          <w:tcPr>
            <w:tcW w:w="1275" w:type="dxa"/>
            <w:tcBorders>
              <w:top w:val="nil"/>
              <w:left w:val="nil"/>
              <w:bottom w:val="single" w:sz="4" w:space="0" w:color="auto"/>
              <w:right w:val="single" w:sz="4" w:space="0" w:color="auto"/>
            </w:tcBorders>
            <w:shd w:val="clear" w:color="000000" w:fill="FFFFFF"/>
            <w:noWrap/>
            <w:vAlign w:val="center"/>
            <w:hideMark/>
          </w:tcPr>
          <w:p w14:paraId="4D3FFD6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r w:rsidR="00852C70" w14:paraId="055362C6" w14:textId="77777777">
        <w:trPr>
          <w:trHeight w:val="96"/>
        </w:trPr>
        <w:tc>
          <w:tcPr>
            <w:tcW w:w="456" w:type="dxa"/>
            <w:tcBorders>
              <w:top w:val="nil"/>
              <w:left w:val="single" w:sz="4" w:space="0" w:color="auto"/>
              <w:bottom w:val="single" w:sz="4" w:space="0" w:color="auto"/>
              <w:right w:val="single" w:sz="4" w:space="0" w:color="auto"/>
            </w:tcBorders>
            <w:shd w:val="clear" w:color="auto" w:fill="BFBFBF"/>
            <w:noWrap/>
            <w:vAlign w:val="bottom"/>
            <w:hideMark/>
          </w:tcPr>
          <w:p w14:paraId="66C2E795"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22</w:t>
            </w:r>
          </w:p>
        </w:tc>
        <w:tc>
          <w:tcPr>
            <w:tcW w:w="980" w:type="dxa"/>
            <w:tcBorders>
              <w:top w:val="nil"/>
              <w:left w:val="nil"/>
              <w:bottom w:val="single" w:sz="4" w:space="0" w:color="auto"/>
              <w:right w:val="single" w:sz="4" w:space="0" w:color="auto"/>
            </w:tcBorders>
            <w:shd w:val="clear" w:color="000000" w:fill="C0C0C0"/>
            <w:noWrap/>
            <w:vAlign w:val="center"/>
            <w:hideMark/>
          </w:tcPr>
          <w:p w14:paraId="5E3B2FD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KM2</w:t>
            </w:r>
          </w:p>
        </w:tc>
        <w:tc>
          <w:tcPr>
            <w:tcW w:w="1120" w:type="dxa"/>
            <w:tcBorders>
              <w:top w:val="nil"/>
              <w:left w:val="nil"/>
              <w:bottom w:val="single" w:sz="4" w:space="0" w:color="auto"/>
              <w:right w:val="single" w:sz="4" w:space="0" w:color="auto"/>
            </w:tcBorders>
            <w:shd w:val="clear" w:color="000000" w:fill="FFFFFF"/>
            <w:noWrap/>
            <w:vAlign w:val="center"/>
            <w:hideMark/>
          </w:tcPr>
          <w:p w14:paraId="1FA66C53"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,719</w:t>
            </w:r>
          </w:p>
        </w:tc>
        <w:tc>
          <w:tcPr>
            <w:tcW w:w="840" w:type="dxa"/>
            <w:tcBorders>
              <w:top w:val="nil"/>
              <w:left w:val="nil"/>
              <w:bottom w:val="single" w:sz="4" w:space="0" w:color="auto"/>
              <w:right w:val="single" w:sz="4" w:space="0" w:color="auto"/>
            </w:tcBorders>
            <w:shd w:val="clear" w:color="000000" w:fill="FFFFFF"/>
            <w:noWrap/>
            <w:vAlign w:val="center"/>
            <w:hideMark/>
          </w:tcPr>
          <w:p w14:paraId="4E96683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7B2A064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456" w:type="dxa"/>
            <w:tcBorders>
              <w:top w:val="nil"/>
              <w:left w:val="nil"/>
              <w:bottom w:val="single" w:sz="4" w:space="0" w:color="auto"/>
              <w:right w:val="single" w:sz="4" w:space="0" w:color="auto"/>
            </w:tcBorders>
            <w:shd w:val="clear" w:color="auto" w:fill="BFBFBF"/>
            <w:noWrap/>
            <w:vAlign w:val="bottom"/>
            <w:hideMark/>
          </w:tcPr>
          <w:p w14:paraId="164010B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44</w:t>
            </w:r>
          </w:p>
        </w:tc>
        <w:tc>
          <w:tcPr>
            <w:tcW w:w="980" w:type="dxa"/>
            <w:tcBorders>
              <w:top w:val="nil"/>
              <w:left w:val="nil"/>
              <w:bottom w:val="single" w:sz="4" w:space="0" w:color="auto"/>
              <w:right w:val="single" w:sz="4" w:space="0" w:color="auto"/>
            </w:tcBorders>
            <w:shd w:val="clear" w:color="000000" w:fill="C0C0C0"/>
            <w:noWrap/>
            <w:vAlign w:val="center"/>
            <w:hideMark/>
          </w:tcPr>
          <w:p w14:paraId="32CDE91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TK5</w:t>
            </w:r>
          </w:p>
        </w:tc>
        <w:tc>
          <w:tcPr>
            <w:tcW w:w="1120" w:type="dxa"/>
            <w:tcBorders>
              <w:top w:val="nil"/>
              <w:left w:val="nil"/>
              <w:bottom w:val="single" w:sz="4" w:space="0" w:color="auto"/>
              <w:right w:val="single" w:sz="4" w:space="0" w:color="auto"/>
            </w:tcBorders>
            <w:shd w:val="clear" w:color="000000" w:fill="FFFFFF"/>
            <w:noWrap/>
            <w:vAlign w:val="center"/>
            <w:hideMark/>
          </w:tcPr>
          <w:p w14:paraId="2072E79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732AC74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,749</w:t>
            </w:r>
          </w:p>
        </w:tc>
        <w:tc>
          <w:tcPr>
            <w:tcW w:w="1275" w:type="dxa"/>
            <w:tcBorders>
              <w:top w:val="nil"/>
              <w:left w:val="nil"/>
              <w:bottom w:val="single" w:sz="4" w:space="0" w:color="auto"/>
              <w:right w:val="single" w:sz="4" w:space="0" w:color="auto"/>
            </w:tcBorders>
            <w:shd w:val="clear" w:color="000000" w:fill="FFFFFF"/>
            <w:noWrap/>
            <w:vAlign w:val="center"/>
            <w:hideMark/>
          </w:tcPr>
          <w:p w14:paraId="4B2C80B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 </w:t>
            </w:r>
          </w:p>
        </w:tc>
      </w:tr>
    </w:tbl>
    <w:p w14:paraId="6B00FB6D"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Source: Primary Analysis Data, 2021</w:t>
      </w:r>
    </w:p>
    <w:p w14:paraId="1FBA78F7" w14:textId="77777777" w:rsidR="00852C70" w:rsidRDefault="000A1714">
      <w:pPr>
        <w:spacing w:before="14" w:line="260" w:lineRule="exact"/>
        <w:ind w:firstLine="720"/>
        <w:jc w:val="both"/>
        <w:rPr>
          <w:rFonts w:ascii="Times New Roman" w:hAnsi="Times New Roman"/>
          <w:sz w:val="24"/>
          <w:szCs w:val="24"/>
        </w:rPr>
      </w:pPr>
      <w:r>
        <w:rPr>
          <w:rFonts w:ascii="Times New Roman" w:hAnsi="Times New Roman"/>
          <w:sz w:val="24"/>
          <w:szCs w:val="24"/>
        </w:rPr>
        <w:t xml:space="preserve">The findings in Table 4.4 above show that the variables used in this research in almost every question representing each variable have a </w:t>
      </w:r>
      <w:r>
        <w:rPr>
          <w:rFonts w:ascii="Times New Roman" w:hAnsi="Times New Roman"/>
          <w:i/>
          <w:sz w:val="24"/>
          <w:szCs w:val="24"/>
        </w:rPr>
        <w:t xml:space="preserve">loading factor value </w:t>
      </w:r>
      <w:r>
        <w:rPr>
          <w:rFonts w:ascii="Times New Roman" w:hAnsi="Times New Roman"/>
          <w:sz w:val="24"/>
          <w:szCs w:val="24"/>
        </w:rPr>
        <w:t>of &gt; 0.6. So it can be stated that the questions representing each variable meet the requirements for research.</w:t>
      </w:r>
    </w:p>
    <w:p w14:paraId="79D2AFF9"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lastRenderedPageBreak/>
        <w:t xml:space="preserve">4.2.2.1.2. </w:t>
      </w:r>
      <w:r>
        <w:rPr>
          <w:rFonts w:ascii="Times New Roman" w:hAnsi="Times New Roman"/>
          <w:b/>
          <w:i/>
          <w:sz w:val="24"/>
          <w:szCs w:val="24"/>
        </w:rPr>
        <w:t>Discriminant Validity</w:t>
      </w:r>
    </w:p>
    <w:p w14:paraId="22B5E576" w14:textId="77777777" w:rsidR="00852C70" w:rsidRDefault="000A1714">
      <w:pPr>
        <w:spacing w:before="14" w:line="260" w:lineRule="exact"/>
        <w:ind w:firstLine="720"/>
        <w:jc w:val="both"/>
        <w:rPr>
          <w:rFonts w:ascii="Times New Roman" w:hAnsi="Times New Roman"/>
          <w:sz w:val="24"/>
          <w:szCs w:val="24"/>
        </w:rPr>
      </w:pPr>
      <w:r>
        <w:rPr>
          <w:rFonts w:ascii="Times New Roman" w:hAnsi="Times New Roman"/>
          <w:i/>
          <w:sz w:val="24"/>
          <w:szCs w:val="24"/>
        </w:rPr>
        <w:t xml:space="preserve">Discriminant validity </w:t>
      </w:r>
      <w:r>
        <w:rPr>
          <w:rFonts w:ascii="Times New Roman" w:hAnsi="Times New Roman"/>
          <w:sz w:val="24"/>
          <w:szCs w:val="24"/>
        </w:rPr>
        <w:t xml:space="preserve">is measured using </w:t>
      </w:r>
      <w:r>
        <w:rPr>
          <w:rFonts w:ascii="Times New Roman" w:hAnsi="Times New Roman"/>
          <w:i/>
          <w:sz w:val="24"/>
          <w:szCs w:val="24"/>
        </w:rPr>
        <w:t xml:space="preserve">cross loading values </w:t>
      </w:r>
      <w:r>
        <w:rPr>
          <w:rFonts w:ascii="Times New Roman" w:hAnsi="Times New Roman"/>
          <w:sz w:val="24"/>
          <w:szCs w:val="24"/>
        </w:rPr>
        <w:t xml:space="preserve">and </w:t>
      </w:r>
      <w:r>
        <w:rPr>
          <w:rFonts w:ascii="Times New Roman" w:hAnsi="Times New Roman"/>
          <w:i/>
          <w:sz w:val="24"/>
          <w:szCs w:val="24"/>
        </w:rPr>
        <w:t xml:space="preserve">average variance extracted </w:t>
      </w:r>
      <w:r>
        <w:rPr>
          <w:rFonts w:ascii="Times New Roman" w:hAnsi="Times New Roman"/>
          <w:sz w:val="24"/>
          <w:szCs w:val="24"/>
        </w:rPr>
        <w:t xml:space="preserve">(AVE) values. The results of the findings in this test using </w:t>
      </w:r>
      <w:r>
        <w:rPr>
          <w:rFonts w:ascii="Times New Roman" w:hAnsi="Times New Roman"/>
          <w:i/>
          <w:sz w:val="24"/>
          <w:szCs w:val="24"/>
        </w:rPr>
        <w:t xml:space="preserve">average variance extracted </w:t>
      </w:r>
      <w:r>
        <w:rPr>
          <w:rFonts w:ascii="Times New Roman" w:hAnsi="Times New Roman"/>
          <w:sz w:val="24"/>
          <w:szCs w:val="24"/>
        </w:rPr>
        <w:t>(AVE) show that the AVE value produced by each variable used is greater than 0.5, so it can be said to meet the requirements .</w:t>
      </w:r>
    </w:p>
    <w:p w14:paraId="3730990A" w14:textId="77777777" w:rsidR="00852C70" w:rsidRDefault="000A1714">
      <w:pPr>
        <w:spacing w:before="14" w:line="260" w:lineRule="exact"/>
        <w:ind w:firstLine="720"/>
        <w:jc w:val="center"/>
        <w:rPr>
          <w:rFonts w:ascii="Times New Roman" w:hAnsi="Times New Roman"/>
          <w:sz w:val="24"/>
          <w:szCs w:val="24"/>
        </w:rPr>
      </w:pPr>
      <w:r>
        <w:rPr>
          <w:rFonts w:ascii="Times New Roman" w:hAnsi="Times New Roman"/>
          <w:b/>
          <w:sz w:val="24"/>
          <w:szCs w:val="24"/>
        </w:rPr>
        <w:t>Table</w:t>
      </w:r>
      <w:r>
        <w:rPr>
          <w:rFonts w:ascii="Times New Roman" w:hAnsi="Times New Roman"/>
          <w:sz w:val="24"/>
          <w:szCs w:val="24"/>
        </w:rPr>
        <w:t xml:space="preserve"> </w:t>
      </w:r>
      <w:r>
        <w:rPr>
          <w:rFonts w:ascii="Times New Roman" w:hAnsi="Times New Roman"/>
          <w:b/>
          <w:sz w:val="24"/>
          <w:szCs w:val="24"/>
        </w:rPr>
        <w:t xml:space="preserve">4.3. </w:t>
      </w:r>
      <w:r>
        <w:rPr>
          <w:rFonts w:ascii="Times New Roman" w:hAnsi="Times New Roman"/>
          <w:sz w:val="24"/>
          <w:szCs w:val="24"/>
        </w:rPr>
        <w:t>Average Variance Extracted (AVE) Value</w:t>
      </w:r>
    </w:p>
    <w:tbl>
      <w:tblPr>
        <w:tblW w:w="4962" w:type="dxa"/>
        <w:tblInd w:w="2192" w:type="dxa"/>
        <w:tblLook w:val="04A0" w:firstRow="1" w:lastRow="0" w:firstColumn="1" w:lastColumn="0" w:noHBand="0" w:noVBand="1"/>
      </w:tblPr>
      <w:tblGrid>
        <w:gridCol w:w="1590"/>
        <w:gridCol w:w="3372"/>
      </w:tblGrid>
      <w:tr w:rsidR="00852C70" w14:paraId="696CABBA" w14:textId="77777777">
        <w:trPr>
          <w:trHeight w:val="315"/>
        </w:trPr>
        <w:tc>
          <w:tcPr>
            <w:tcW w:w="15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E6BDECF" w14:textId="77777777" w:rsidR="00852C70" w:rsidRDefault="000A1714">
            <w:pPr>
              <w:spacing w:before="14" w:after="0" w:line="260" w:lineRule="exact"/>
              <w:rPr>
                <w:rFonts w:ascii="Times New Roman" w:hAnsi="Times New Roman"/>
                <w:b/>
                <w:bCs/>
                <w:i/>
                <w:color w:val="000000"/>
                <w:sz w:val="24"/>
                <w:szCs w:val="24"/>
              </w:rPr>
            </w:pPr>
            <w:r>
              <w:rPr>
                <w:rFonts w:ascii="Times New Roman" w:hAnsi="Times New Roman"/>
                <w:b/>
                <w:bCs/>
                <w:i/>
                <w:color w:val="000000"/>
                <w:sz w:val="24"/>
                <w:szCs w:val="24"/>
              </w:rPr>
              <w:t>variable</w:t>
            </w:r>
          </w:p>
        </w:tc>
        <w:tc>
          <w:tcPr>
            <w:tcW w:w="3372" w:type="dxa"/>
            <w:tcBorders>
              <w:top w:val="single" w:sz="4" w:space="0" w:color="auto"/>
              <w:left w:val="nil"/>
              <w:bottom w:val="single" w:sz="4" w:space="0" w:color="auto"/>
              <w:right w:val="single" w:sz="4" w:space="0" w:color="auto"/>
            </w:tcBorders>
            <w:shd w:val="clear" w:color="000000" w:fill="C0C0C0"/>
            <w:noWrap/>
            <w:vAlign w:val="center"/>
            <w:hideMark/>
          </w:tcPr>
          <w:p w14:paraId="6B4FA4A8" w14:textId="77777777" w:rsidR="00852C70" w:rsidRDefault="000A1714">
            <w:pPr>
              <w:spacing w:before="14" w:after="0" w:line="260" w:lineRule="exact"/>
              <w:rPr>
                <w:rFonts w:ascii="Times New Roman" w:hAnsi="Times New Roman"/>
                <w:b/>
                <w:bCs/>
                <w:i/>
                <w:color w:val="000000"/>
                <w:sz w:val="24"/>
                <w:szCs w:val="24"/>
              </w:rPr>
            </w:pPr>
            <w:r>
              <w:rPr>
                <w:rFonts w:ascii="Times New Roman" w:hAnsi="Times New Roman"/>
                <w:b/>
                <w:bCs/>
                <w:i/>
                <w:color w:val="000000"/>
                <w:sz w:val="24"/>
                <w:szCs w:val="24"/>
              </w:rPr>
              <w:t>Average Variance Extracted (AVE)</w:t>
            </w:r>
          </w:p>
        </w:tc>
      </w:tr>
      <w:tr w:rsidR="00852C70" w14:paraId="3E29F794" w14:textId="77777777">
        <w:trPr>
          <w:trHeight w:val="315"/>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0904F197" w14:textId="77777777" w:rsidR="00852C70" w:rsidRDefault="000A1714">
            <w:pPr>
              <w:spacing w:before="14" w:after="0" w:line="260" w:lineRule="exact"/>
              <w:rPr>
                <w:rFonts w:ascii="Times New Roman" w:hAnsi="Times New Roman"/>
                <w:bCs/>
                <w:color w:val="000000"/>
                <w:sz w:val="24"/>
                <w:szCs w:val="24"/>
              </w:rPr>
            </w:pPr>
            <w:r>
              <w:rPr>
                <w:rFonts w:ascii="Times New Roman" w:hAnsi="Times New Roman"/>
                <w:bCs/>
                <w:color w:val="000000"/>
                <w:sz w:val="24"/>
                <w:szCs w:val="24"/>
              </w:rPr>
              <w:t>PAML (X)</w:t>
            </w:r>
          </w:p>
        </w:tc>
        <w:tc>
          <w:tcPr>
            <w:tcW w:w="3372" w:type="dxa"/>
            <w:tcBorders>
              <w:top w:val="nil"/>
              <w:left w:val="nil"/>
              <w:bottom w:val="single" w:sz="4" w:space="0" w:color="auto"/>
              <w:right w:val="single" w:sz="4" w:space="0" w:color="auto"/>
            </w:tcBorders>
            <w:shd w:val="clear" w:color="auto" w:fill="auto"/>
            <w:noWrap/>
            <w:vAlign w:val="center"/>
            <w:hideMark/>
          </w:tcPr>
          <w:p w14:paraId="1DB4DA5E"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,534</w:t>
            </w:r>
          </w:p>
        </w:tc>
      </w:tr>
      <w:tr w:rsidR="00852C70" w14:paraId="0C5B3ADB" w14:textId="77777777">
        <w:trPr>
          <w:trHeight w:val="315"/>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6B0BC1C7" w14:textId="77777777" w:rsidR="00852C70" w:rsidRDefault="000A1714">
            <w:pPr>
              <w:spacing w:before="14" w:after="0" w:line="260" w:lineRule="exact"/>
              <w:rPr>
                <w:rFonts w:ascii="Times New Roman" w:hAnsi="Times New Roman"/>
                <w:bCs/>
                <w:color w:val="000000"/>
                <w:sz w:val="24"/>
                <w:szCs w:val="24"/>
              </w:rPr>
            </w:pPr>
            <w:r>
              <w:rPr>
                <w:rFonts w:ascii="Times New Roman" w:hAnsi="Times New Roman"/>
                <w:bCs/>
                <w:color w:val="000000"/>
                <w:sz w:val="24"/>
                <w:szCs w:val="24"/>
              </w:rPr>
              <w:t>SI(Z)</w:t>
            </w:r>
          </w:p>
        </w:tc>
        <w:tc>
          <w:tcPr>
            <w:tcW w:w="3372" w:type="dxa"/>
            <w:tcBorders>
              <w:top w:val="nil"/>
              <w:left w:val="nil"/>
              <w:bottom w:val="single" w:sz="4" w:space="0" w:color="auto"/>
              <w:right w:val="single" w:sz="4" w:space="0" w:color="auto"/>
            </w:tcBorders>
            <w:shd w:val="clear" w:color="auto" w:fill="auto"/>
            <w:noWrap/>
            <w:vAlign w:val="center"/>
            <w:hideMark/>
          </w:tcPr>
          <w:p w14:paraId="3D15E767"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,591</w:t>
            </w:r>
          </w:p>
        </w:tc>
      </w:tr>
      <w:tr w:rsidR="00852C70" w14:paraId="216A62BC" w14:textId="77777777">
        <w:trPr>
          <w:trHeight w:val="315"/>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22ED8E45" w14:textId="77777777" w:rsidR="00852C70" w:rsidRDefault="000A1714">
            <w:pPr>
              <w:spacing w:before="14" w:after="0" w:line="260" w:lineRule="exact"/>
              <w:rPr>
                <w:rFonts w:ascii="Times New Roman" w:hAnsi="Times New Roman"/>
                <w:bCs/>
                <w:color w:val="000000"/>
                <w:sz w:val="24"/>
                <w:szCs w:val="24"/>
              </w:rPr>
            </w:pPr>
            <w:r>
              <w:rPr>
                <w:rFonts w:ascii="Times New Roman" w:hAnsi="Times New Roman"/>
                <w:bCs/>
                <w:color w:val="000000"/>
                <w:sz w:val="24"/>
                <w:szCs w:val="24"/>
              </w:rPr>
              <w:t>KPM (Y)</w:t>
            </w:r>
          </w:p>
        </w:tc>
        <w:tc>
          <w:tcPr>
            <w:tcW w:w="3372" w:type="dxa"/>
            <w:tcBorders>
              <w:top w:val="nil"/>
              <w:left w:val="nil"/>
              <w:bottom w:val="single" w:sz="4" w:space="0" w:color="auto"/>
              <w:right w:val="single" w:sz="4" w:space="0" w:color="auto"/>
            </w:tcBorders>
            <w:shd w:val="clear" w:color="auto" w:fill="auto"/>
            <w:noWrap/>
            <w:vAlign w:val="center"/>
            <w:hideMark/>
          </w:tcPr>
          <w:p w14:paraId="0E77B513"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,579</w:t>
            </w:r>
          </w:p>
        </w:tc>
      </w:tr>
    </w:tbl>
    <w:p w14:paraId="095A8F0E" w14:textId="77777777" w:rsidR="00852C70" w:rsidRDefault="000A1714">
      <w:pPr>
        <w:spacing w:before="14" w:line="260" w:lineRule="exact"/>
        <w:jc w:val="center"/>
        <w:rPr>
          <w:rFonts w:ascii="Times New Roman" w:hAnsi="Times New Roman"/>
          <w:sz w:val="24"/>
          <w:szCs w:val="24"/>
        </w:rPr>
      </w:pPr>
      <w:r>
        <w:rPr>
          <w:rFonts w:ascii="Times New Roman" w:hAnsi="Times New Roman"/>
          <w:sz w:val="24"/>
          <w:szCs w:val="24"/>
        </w:rPr>
        <w:t>Source: Primary Analysis Data, 2021</w:t>
      </w:r>
    </w:p>
    <w:p w14:paraId="722ECDDF" w14:textId="77777777" w:rsidR="00852C70" w:rsidRDefault="000A1714">
      <w:pPr>
        <w:spacing w:before="14" w:after="0" w:line="260" w:lineRule="exact"/>
        <w:jc w:val="both"/>
        <w:rPr>
          <w:rFonts w:ascii="Times New Roman" w:hAnsi="Times New Roman"/>
          <w:sz w:val="24"/>
          <w:szCs w:val="24"/>
        </w:rPr>
      </w:pPr>
      <w:r>
        <w:rPr>
          <w:rFonts w:ascii="Times New Roman" w:hAnsi="Times New Roman"/>
          <w:sz w:val="24"/>
          <w:szCs w:val="24"/>
        </w:rPr>
        <w:t xml:space="preserve">Based on the table presented above, it can be seen that the AVE value of all the variables tested is &gt; 0.5. This shows that each variable has good </w:t>
      </w:r>
      <w:r>
        <w:rPr>
          <w:rFonts w:ascii="Times New Roman" w:hAnsi="Times New Roman"/>
          <w:i/>
          <w:sz w:val="24"/>
          <w:szCs w:val="24"/>
        </w:rPr>
        <w:t>discriminant validity .</w:t>
      </w:r>
    </w:p>
    <w:p w14:paraId="089CD049" w14:textId="77777777" w:rsidR="00852C70" w:rsidRDefault="00852C70">
      <w:pPr>
        <w:spacing w:before="14" w:after="0" w:line="260" w:lineRule="exact"/>
        <w:jc w:val="both"/>
        <w:rPr>
          <w:rFonts w:ascii="Times New Roman" w:hAnsi="Times New Roman"/>
          <w:sz w:val="24"/>
          <w:szCs w:val="24"/>
        </w:rPr>
      </w:pPr>
    </w:p>
    <w:p w14:paraId="02EF4622"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4.2.2.2. Reliability Test Analysis</w:t>
      </w:r>
    </w:p>
    <w:p w14:paraId="30623003"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sz w:val="24"/>
          <w:szCs w:val="24"/>
        </w:rPr>
        <w:t xml:space="preserve">Reliability measurement shows how accurate the respondent's answers are in the variables used to determine whether the respondent is consistent in answering the questions under study. In this measurement, there are 2 types of methods used in research, namely </w:t>
      </w:r>
      <w:r>
        <w:rPr>
          <w:rFonts w:ascii="Times New Roman" w:hAnsi="Times New Roman"/>
          <w:i/>
          <w:sz w:val="24"/>
          <w:szCs w:val="24"/>
        </w:rPr>
        <w:t xml:space="preserve">composite reliability </w:t>
      </w:r>
      <w:r>
        <w:rPr>
          <w:rFonts w:ascii="Times New Roman" w:hAnsi="Times New Roman"/>
          <w:sz w:val="24"/>
          <w:szCs w:val="24"/>
        </w:rPr>
        <w:t xml:space="preserve">and </w:t>
      </w:r>
      <w:r>
        <w:rPr>
          <w:rFonts w:ascii="Times New Roman" w:hAnsi="Times New Roman"/>
          <w:i/>
          <w:sz w:val="24"/>
          <w:szCs w:val="24"/>
        </w:rPr>
        <w:t xml:space="preserve">Cronbach's alpha </w:t>
      </w:r>
      <w:r>
        <w:rPr>
          <w:rFonts w:ascii="Times New Roman" w:hAnsi="Times New Roman"/>
          <w:sz w:val="24"/>
          <w:szCs w:val="24"/>
        </w:rPr>
        <w:t>.</w:t>
      </w:r>
    </w:p>
    <w:p w14:paraId="41D8BCA2" w14:textId="77777777" w:rsidR="00852C70" w:rsidRDefault="00852C70">
      <w:pPr>
        <w:spacing w:before="14" w:after="0" w:line="260" w:lineRule="exact"/>
        <w:jc w:val="both"/>
        <w:rPr>
          <w:rFonts w:ascii="Times New Roman" w:hAnsi="Times New Roman"/>
          <w:b/>
          <w:sz w:val="24"/>
          <w:szCs w:val="24"/>
        </w:rPr>
      </w:pPr>
    </w:p>
    <w:p w14:paraId="32C95FA7"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 xml:space="preserve">4.2.2.2.1. </w:t>
      </w:r>
      <w:r>
        <w:rPr>
          <w:rFonts w:ascii="Times New Roman" w:hAnsi="Times New Roman"/>
          <w:b/>
          <w:i/>
          <w:sz w:val="24"/>
          <w:szCs w:val="24"/>
        </w:rPr>
        <w:t>Composite Reliability</w:t>
      </w:r>
    </w:p>
    <w:p w14:paraId="72676A79"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i/>
          <w:sz w:val="24"/>
          <w:szCs w:val="24"/>
        </w:rPr>
        <w:t xml:space="preserve">Composite reliability </w:t>
      </w:r>
      <w:r>
        <w:rPr>
          <w:rFonts w:ascii="Times New Roman" w:hAnsi="Times New Roman"/>
          <w:sz w:val="24"/>
          <w:szCs w:val="24"/>
        </w:rPr>
        <w:t xml:space="preserve">is the part used to test the reliability value of variable indicators. A construct is said to be reliable if the </w:t>
      </w:r>
      <w:r>
        <w:rPr>
          <w:rFonts w:ascii="Times New Roman" w:hAnsi="Times New Roman"/>
          <w:i/>
          <w:sz w:val="24"/>
          <w:szCs w:val="24"/>
        </w:rPr>
        <w:t xml:space="preserve">composite reliability value </w:t>
      </w:r>
      <w:r>
        <w:rPr>
          <w:rFonts w:ascii="Times New Roman" w:hAnsi="Times New Roman"/>
          <w:sz w:val="24"/>
          <w:szCs w:val="24"/>
        </w:rPr>
        <w:t>is &gt; 0.7, which has high reliability, although 0.6 is still acceptable.</w:t>
      </w:r>
    </w:p>
    <w:p w14:paraId="046C97E0" w14:textId="77777777" w:rsidR="00852C70" w:rsidRDefault="000A1714">
      <w:pPr>
        <w:spacing w:before="14" w:after="0" w:line="260" w:lineRule="exact"/>
        <w:ind w:firstLine="720"/>
        <w:jc w:val="center"/>
        <w:rPr>
          <w:rFonts w:ascii="Times New Roman" w:hAnsi="Times New Roman"/>
          <w:b/>
          <w:sz w:val="24"/>
          <w:szCs w:val="24"/>
        </w:rPr>
      </w:pPr>
      <w:r>
        <w:rPr>
          <w:rFonts w:ascii="Times New Roman" w:hAnsi="Times New Roman"/>
          <w:b/>
          <w:sz w:val="24"/>
          <w:szCs w:val="24"/>
        </w:rPr>
        <w:t>Table</w:t>
      </w:r>
      <w:r>
        <w:rPr>
          <w:rFonts w:ascii="Times New Roman" w:hAnsi="Times New Roman"/>
          <w:sz w:val="24"/>
          <w:szCs w:val="24"/>
        </w:rPr>
        <w:t xml:space="preserve"> </w:t>
      </w:r>
      <w:r>
        <w:rPr>
          <w:rFonts w:ascii="Times New Roman" w:hAnsi="Times New Roman"/>
          <w:b/>
          <w:sz w:val="24"/>
          <w:szCs w:val="24"/>
        </w:rPr>
        <w:t>4.4. Composite Reliability</w:t>
      </w:r>
    </w:p>
    <w:tbl>
      <w:tblPr>
        <w:tblW w:w="4684" w:type="dxa"/>
        <w:jc w:val="center"/>
        <w:tblLook w:val="04A0" w:firstRow="1" w:lastRow="0" w:firstColumn="1" w:lastColumn="0" w:noHBand="0" w:noVBand="1"/>
      </w:tblPr>
      <w:tblGrid>
        <w:gridCol w:w="2014"/>
        <w:gridCol w:w="2670"/>
      </w:tblGrid>
      <w:tr w:rsidR="00852C70" w14:paraId="57BA8109" w14:textId="77777777">
        <w:trPr>
          <w:trHeight w:val="315"/>
          <w:jc w:val="center"/>
        </w:trPr>
        <w:tc>
          <w:tcPr>
            <w:tcW w:w="20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0B1FDA"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Variable</w:t>
            </w:r>
          </w:p>
        </w:tc>
        <w:tc>
          <w:tcPr>
            <w:tcW w:w="2670" w:type="dxa"/>
            <w:tcBorders>
              <w:top w:val="single" w:sz="4" w:space="0" w:color="auto"/>
              <w:left w:val="nil"/>
              <w:bottom w:val="single" w:sz="4" w:space="0" w:color="auto"/>
              <w:right w:val="single" w:sz="4" w:space="0" w:color="auto"/>
            </w:tcBorders>
            <w:shd w:val="clear" w:color="000000" w:fill="C0C0C0"/>
            <w:noWrap/>
            <w:vAlign w:val="center"/>
            <w:hideMark/>
          </w:tcPr>
          <w:p w14:paraId="26D1BFDE"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Composite Reliability</w:t>
            </w:r>
          </w:p>
        </w:tc>
      </w:tr>
      <w:tr w:rsidR="00852C70" w14:paraId="443889D3" w14:textId="77777777">
        <w:trPr>
          <w:trHeight w:val="315"/>
          <w:jc w:val="center"/>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14:paraId="28F52AD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PAML (X)</w:t>
            </w:r>
          </w:p>
        </w:tc>
        <w:tc>
          <w:tcPr>
            <w:tcW w:w="2670" w:type="dxa"/>
            <w:tcBorders>
              <w:top w:val="nil"/>
              <w:left w:val="nil"/>
              <w:bottom w:val="single" w:sz="4" w:space="0" w:color="auto"/>
              <w:right w:val="single" w:sz="4" w:space="0" w:color="auto"/>
            </w:tcBorders>
            <w:shd w:val="clear" w:color="auto" w:fill="auto"/>
            <w:noWrap/>
            <w:vAlign w:val="center"/>
            <w:hideMark/>
          </w:tcPr>
          <w:p w14:paraId="607A05AC"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,966</w:t>
            </w:r>
          </w:p>
        </w:tc>
      </w:tr>
      <w:tr w:rsidR="00852C70" w14:paraId="45B3BC87" w14:textId="77777777">
        <w:trPr>
          <w:trHeight w:val="315"/>
          <w:jc w:val="center"/>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14:paraId="480C4489"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SI(Z)</w:t>
            </w:r>
          </w:p>
        </w:tc>
        <w:tc>
          <w:tcPr>
            <w:tcW w:w="2670" w:type="dxa"/>
            <w:tcBorders>
              <w:top w:val="nil"/>
              <w:left w:val="nil"/>
              <w:bottom w:val="single" w:sz="4" w:space="0" w:color="auto"/>
              <w:right w:val="single" w:sz="4" w:space="0" w:color="auto"/>
            </w:tcBorders>
            <w:shd w:val="clear" w:color="auto" w:fill="auto"/>
            <w:noWrap/>
            <w:vAlign w:val="center"/>
            <w:hideMark/>
          </w:tcPr>
          <w:p w14:paraId="19AE104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,935</w:t>
            </w:r>
          </w:p>
        </w:tc>
      </w:tr>
      <w:tr w:rsidR="00852C70" w14:paraId="6D09FBDB" w14:textId="77777777">
        <w:trPr>
          <w:trHeight w:val="315"/>
          <w:jc w:val="center"/>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14:paraId="1B54522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KPM (Y)</w:t>
            </w:r>
          </w:p>
        </w:tc>
        <w:tc>
          <w:tcPr>
            <w:tcW w:w="2670" w:type="dxa"/>
            <w:tcBorders>
              <w:top w:val="nil"/>
              <w:left w:val="nil"/>
              <w:bottom w:val="single" w:sz="4" w:space="0" w:color="auto"/>
              <w:right w:val="single" w:sz="4" w:space="0" w:color="auto"/>
            </w:tcBorders>
            <w:shd w:val="clear" w:color="auto" w:fill="auto"/>
            <w:noWrap/>
            <w:vAlign w:val="center"/>
            <w:hideMark/>
          </w:tcPr>
          <w:p w14:paraId="0CDF494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,925</w:t>
            </w:r>
          </w:p>
        </w:tc>
      </w:tr>
    </w:tbl>
    <w:p w14:paraId="330FF812" w14:textId="77777777" w:rsidR="00852C70" w:rsidRDefault="000A1714">
      <w:pPr>
        <w:tabs>
          <w:tab w:val="left" w:pos="2268"/>
        </w:tabs>
        <w:spacing w:before="14" w:line="260" w:lineRule="exact"/>
        <w:rPr>
          <w:rFonts w:ascii="Times New Roman" w:hAnsi="Times New Roman"/>
          <w:sz w:val="24"/>
          <w:szCs w:val="24"/>
        </w:rPr>
      </w:pPr>
      <w:r>
        <w:rPr>
          <w:rFonts w:ascii="Times New Roman" w:hAnsi="Times New Roman"/>
          <w:sz w:val="24"/>
          <w:szCs w:val="24"/>
        </w:rPr>
        <w:tab/>
        <w:t>Source: Primary Analysis Data, 2021</w:t>
      </w:r>
    </w:p>
    <w:p w14:paraId="06AC9998" w14:textId="77777777" w:rsidR="00852C70" w:rsidRDefault="000A1714">
      <w:pPr>
        <w:tabs>
          <w:tab w:val="left" w:pos="2268"/>
        </w:tabs>
        <w:spacing w:before="14" w:line="260" w:lineRule="exact"/>
        <w:rPr>
          <w:rFonts w:ascii="Times New Roman" w:hAnsi="Times New Roman"/>
          <w:sz w:val="24"/>
          <w:szCs w:val="24"/>
        </w:rPr>
      </w:pPr>
      <w:r>
        <w:rPr>
          <w:rFonts w:ascii="Times New Roman" w:hAnsi="Times New Roman"/>
          <w:i/>
          <w:sz w:val="24"/>
          <w:szCs w:val="24"/>
        </w:rPr>
        <w:t xml:space="preserve">composite reliability </w:t>
      </w:r>
      <w:r>
        <w:rPr>
          <w:rFonts w:ascii="Times New Roman" w:hAnsi="Times New Roman"/>
          <w:sz w:val="24"/>
          <w:szCs w:val="24"/>
        </w:rPr>
        <w:t>value produced by all variables exceeds the value of 0.7 so that all variables are reliable.</w:t>
      </w:r>
    </w:p>
    <w:p w14:paraId="268D0189"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 xml:space="preserve">4.2.2.2.2. </w:t>
      </w:r>
      <w:r>
        <w:rPr>
          <w:rFonts w:ascii="Times New Roman" w:hAnsi="Times New Roman"/>
          <w:b/>
          <w:i/>
          <w:sz w:val="24"/>
          <w:szCs w:val="24"/>
        </w:rPr>
        <w:t>Cronbach's Alpha</w:t>
      </w:r>
    </w:p>
    <w:p w14:paraId="0A80A9C8"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sz w:val="24"/>
          <w:szCs w:val="24"/>
        </w:rPr>
        <w:t xml:space="preserve">The reliability test with </w:t>
      </w:r>
      <w:r>
        <w:rPr>
          <w:rFonts w:ascii="Times New Roman" w:hAnsi="Times New Roman"/>
          <w:i/>
          <w:sz w:val="24"/>
          <w:szCs w:val="24"/>
        </w:rPr>
        <w:t xml:space="preserve">composite reliability </w:t>
      </w:r>
      <w:r>
        <w:rPr>
          <w:rFonts w:ascii="Times New Roman" w:hAnsi="Times New Roman"/>
          <w:sz w:val="24"/>
          <w:szCs w:val="24"/>
        </w:rPr>
        <w:t xml:space="preserve">can be strengthened by using the </w:t>
      </w:r>
      <w:r>
        <w:rPr>
          <w:rFonts w:ascii="Times New Roman" w:hAnsi="Times New Roman"/>
          <w:i/>
          <w:sz w:val="24"/>
          <w:szCs w:val="24"/>
        </w:rPr>
        <w:t xml:space="preserve">Cronbach's Alpha value </w:t>
      </w:r>
      <w:r>
        <w:rPr>
          <w:rFonts w:ascii="Times New Roman" w:hAnsi="Times New Roman"/>
          <w:sz w:val="24"/>
          <w:szCs w:val="24"/>
        </w:rPr>
        <w:t xml:space="preserve">as a variable assessment criterion. If </w:t>
      </w:r>
      <w:r>
        <w:rPr>
          <w:rFonts w:ascii="Times New Roman" w:hAnsi="Times New Roman"/>
          <w:i/>
          <w:sz w:val="24"/>
          <w:szCs w:val="24"/>
        </w:rPr>
        <w:t xml:space="preserve">the Cronbach's Alpha value </w:t>
      </w:r>
      <w:r>
        <w:rPr>
          <w:rFonts w:ascii="Times New Roman" w:hAnsi="Times New Roman"/>
          <w:sz w:val="24"/>
          <w:szCs w:val="24"/>
        </w:rPr>
        <w:t>for each variable is &gt; 0.7 then it is said to be reliable.</w:t>
      </w:r>
    </w:p>
    <w:p w14:paraId="04FE1C4D" w14:textId="77777777" w:rsidR="00852C70" w:rsidRDefault="000A1714">
      <w:pPr>
        <w:spacing w:before="14" w:after="0" w:line="260" w:lineRule="exact"/>
        <w:ind w:firstLine="720"/>
        <w:jc w:val="center"/>
        <w:rPr>
          <w:rFonts w:ascii="Times New Roman" w:hAnsi="Times New Roman"/>
          <w:b/>
          <w:sz w:val="24"/>
          <w:szCs w:val="24"/>
        </w:rPr>
      </w:pPr>
      <w:r>
        <w:rPr>
          <w:rFonts w:ascii="Times New Roman" w:hAnsi="Times New Roman"/>
          <w:b/>
          <w:sz w:val="24"/>
          <w:szCs w:val="24"/>
        </w:rPr>
        <w:t xml:space="preserve">Table 4.5. </w:t>
      </w:r>
      <w:r>
        <w:rPr>
          <w:rFonts w:ascii="Times New Roman" w:hAnsi="Times New Roman"/>
          <w:sz w:val="24"/>
          <w:szCs w:val="24"/>
        </w:rPr>
        <w:t>Cronbach's Alpha</w:t>
      </w:r>
    </w:p>
    <w:tbl>
      <w:tblPr>
        <w:tblW w:w="4684" w:type="dxa"/>
        <w:jc w:val="center"/>
        <w:tblLook w:val="04A0" w:firstRow="1" w:lastRow="0" w:firstColumn="1" w:lastColumn="0" w:noHBand="0" w:noVBand="1"/>
      </w:tblPr>
      <w:tblGrid>
        <w:gridCol w:w="2128"/>
        <w:gridCol w:w="2556"/>
      </w:tblGrid>
      <w:tr w:rsidR="00852C70" w14:paraId="0EF6CF7B" w14:textId="77777777">
        <w:trPr>
          <w:trHeight w:val="315"/>
          <w:jc w:val="center"/>
        </w:trPr>
        <w:tc>
          <w:tcPr>
            <w:tcW w:w="21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9063C2"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Variable</w:t>
            </w:r>
          </w:p>
        </w:tc>
        <w:tc>
          <w:tcPr>
            <w:tcW w:w="2556" w:type="dxa"/>
            <w:tcBorders>
              <w:top w:val="single" w:sz="4" w:space="0" w:color="auto"/>
              <w:left w:val="nil"/>
              <w:bottom w:val="single" w:sz="4" w:space="0" w:color="auto"/>
              <w:right w:val="single" w:sz="4" w:space="0" w:color="auto"/>
            </w:tcBorders>
            <w:shd w:val="clear" w:color="000000" w:fill="C0C0C0"/>
            <w:noWrap/>
            <w:vAlign w:val="center"/>
            <w:hideMark/>
          </w:tcPr>
          <w:p w14:paraId="754FBC46"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Cronbach's Alpha</w:t>
            </w:r>
          </w:p>
        </w:tc>
      </w:tr>
      <w:tr w:rsidR="00852C70" w14:paraId="26929579" w14:textId="77777777">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2D82538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PAML (X)</w:t>
            </w:r>
          </w:p>
        </w:tc>
        <w:tc>
          <w:tcPr>
            <w:tcW w:w="2556" w:type="dxa"/>
            <w:tcBorders>
              <w:top w:val="nil"/>
              <w:left w:val="nil"/>
              <w:bottom w:val="single" w:sz="4" w:space="0" w:color="auto"/>
              <w:right w:val="single" w:sz="4" w:space="0" w:color="auto"/>
            </w:tcBorders>
            <w:shd w:val="clear" w:color="auto" w:fill="auto"/>
            <w:noWrap/>
            <w:vAlign w:val="center"/>
            <w:hideMark/>
          </w:tcPr>
          <w:p w14:paraId="7BCA9A6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,963</w:t>
            </w:r>
          </w:p>
        </w:tc>
      </w:tr>
      <w:tr w:rsidR="00852C70" w14:paraId="35E991E9" w14:textId="77777777">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607D090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SI(Z)</w:t>
            </w:r>
          </w:p>
        </w:tc>
        <w:tc>
          <w:tcPr>
            <w:tcW w:w="2556" w:type="dxa"/>
            <w:tcBorders>
              <w:top w:val="nil"/>
              <w:left w:val="nil"/>
              <w:bottom w:val="single" w:sz="4" w:space="0" w:color="auto"/>
              <w:right w:val="single" w:sz="4" w:space="0" w:color="auto"/>
            </w:tcBorders>
            <w:shd w:val="clear" w:color="auto" w:fill="auto"/>
            <w:noWrap/>
            <w:vAlign w:val="center"/>
            <w:hideMark/>
          </w:tcPr>
          <w:p w14:paraId="37CFB1ED"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,922</w:t>
            </w:r>
          </w:p>
        </w:tc>
      </w:tr>
      <w:tr w:rsidR="00852C70" w14:paraId="47886E90" w14:textId="77777777">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5C8F760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KPM (Y)</w:t>
            </w:r>
          </w:p>
        </w:tc>
        <w:tc>
          <w:tcPr>
            <w:tcW w:w="2556" w:type="dxa"/>
            <w:tcBorders>
              <w:top w:val="nil"/>
              <w:left w:val="nil"/>
              <w:bottom w:val="single" w:sz="4" w:space="0" w:color="auto"/>
              <w:right w:val="single" w:sz="4" w:space="0" w:color="auto"/>
            </w:tcBorders>
            <w:shd w:val="clear" w:color="auto" w:fill="auto"/>
            <w:noWrap/>
            <w:vAlign w:val="center"/>
            <w:hideMark/>
          </w:tcPr>
          <w:p w14:paraId="06B0CBD5"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,908</w:t>
            </w:r>
          </w:p>
        </w:tc>
      </w:tr>
    </w:tbl>
    <w:p w14:paraId="58066F64" w14:textId="77777777" w:rsidR="00852C70" w:rsidRDefault="000A1714">
      <w:pPr>
        <w:tabs>
          <w:tab w:val="left" w:pos="2268"/>
        </w:tabs>
        <w:spacing w:before="14" w:line="260" w:lineRule="exact"/>
        <w:rPr>
          <w:rFonts w:ascii="Times New Roman" w:hAnsi="Times New Roman"/>
          <w:sz w:val="24"/>
          <w:szCs w:val="24"/>
        </w:rPr>
      </w:pPr>
      <w:r>
        <w:rPr>
          <w:rFonts w:ascii="Times New Roman" w:hAnsi="Times New Roman"/>
          <w:sz w:val="24"/>
          <w:szCs w:val="24"/>
        </w:rPr>
        <w:tab/>
        <w:t>Source: Primary Analysis Data, 2021</w:t>
      </w:r>
    </w:p>
    <w:p w14:paraId="09EC2A72" w14:textId="77777777" w:rsidR="00852C70" w:rsidRDefault="000A1714">
      <w:pPr>
        <w:spacing w:before="14" w:after="0" w:line="260" w:lineRule="exact"/>
        <w:jc w:val="both"/>
        <w:rPr>
          <w:rFonts w:ascii="Times New Roman" w:hAnsi="Times New Roman"/>
          <w:sz w:val="24"/>
          <w:szCs w:val="24"/>
        </w:rPr>
      </w:pPr>
      <w:r>
        <w:rPr>
          <w:rFonts w:ascii="Times New Roman" w:hAnsi="Times New Roman"/>
          <w:sz w:val="24"/>
          <w:szCs w:val="24"/>
        </w:rPr>
        <w:lastRenderedPageBreak/>
        <w:t xml:space="preserve">Thus, these results can indicate that each research variable has met the </w:t>
      </w:r>
      <w:r>
        <w:rPr>
          <w:rFonts w:ascii="Times New Roman" w:hAnsi="Times New Roman"/>
          <w:i/>
          <w:sz w:val="24"/>
          <w:szCs w:val="24"/>
        </w:rPr>
        <w:t xml:space="preserve">Cronbach's Alpha value requirements </w:t>
      </w:r>
      <w:r>
        <w:rPr>
          <w:rFonts w:ascii="Times New Roman" w:hAnsi="Times New Roman"/>
          <w:sz w:val="24"/>
          <w:szCs w:val="24"/>
        </w:rPr>
        <w:t>, so it can be concluded that all variables have a high level of reliability.</w:t>
      </w:r>
    </w:p>
    <w:p w14:paraId="44250618" w14:textId="77777777" w:rsidR="00852C70" w:rsidRDefault="00852C70">
      <w:pPr>
        <w:spacing w:before="14" w:after="0" w:line="260" w:lineRule="exact"/>
        <w:jc w:val="both"/>
        <w:rPr>
          <w:rFonts w:ascii="Times New Roman" w:hAnsi="Times New Roman"/>
          <w:b/>
          <w:sz w:val="24"/>
          <w:szCs w:val="24"/>
        </w:rPr>
      </w:pPr>
    </w:p>
    <w:p w14:paraId="5B67A6C7"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4.2.2.3. Multicollinearity Test Analysis</w:t>
      </w:r>
    </w:p>
    <w:p w14:paraId="3275F4E3" w14:textId="77777777" w:rsidR="00852C70" w:rsidRDefault="000A1714">
      <w:pPr>
        <w:spacing w:before="14" w:after="0" w:line="260" w:lineRule="exact"/>
        <w:ind w:firstLine="720"/>
        <w:jc w:val="both"/>
        <w:rPr>
          <w:rFonts w:ascii="Times New Roman" w:hAnsi="Times New Roman"/>
          <w:sz w:val="24"/>
          <w:szCs w:val="24"/>
        </w:rPr>
      </w:pPr>
      <w:r>
        <w:rPr>
          <w:rFonts w:ascii="Times New Roman" w:hAnsi="Times New Roman"/>
          <w:sz w:val="24"/>
          <w:szCs w:val="24"/>
        </w:rPr>
        <w:t>This test is to see whether each independent variable has a correlation between the independent variables or not. The applicable criteria in the multicollinearity test is if the VIF value is &lt;3.5-5. The first test to look for multicollinearity in the research was carried out with the results that there was quite a lot of multicollinearity in the inner VIF research. This can be seen in the table of results of the first test of the multicollinearity test.</w:t>
      </w:r>
    </w:p>
    <w:p w14:paraId="72408513" w14:textId="77777777" w:rsidR="00852C70" w:rsidRDefault="00852C70">
      <w:pPr>
        <w:spacing w:before="14" w:after="0" w:line="260" w:lineRule="exact"/>
        <w:ind w:firstLine="720"/>
        <w:jc w:val="both"/>
        <w:rPr>
          <w:rFonts w:ascii="Times New Roman" w:hAnsi="Times New Roman"/>
          <w:sz w:val="24"/>
          <w:szCs w:val="24"/>
        </w:rPr>
      </w:pPr>
    </w:p>
    <w:p w14:paraId="303E1739" w14:textId="77777777" w:rsidR="00852C70" w:rsidRDefault="000A1714">
      <w:pPr>
        <w:spacing w:before="14" w:after="0" w:line="260" w:lineRule="exact"/>
        <w:jc w:val="center"/>
        <w:rPr>
          <w:rFonts w:ascii="Times New Roman" w:hAnsi="Times New Roman"/>
          <w:sz w:val="24"/>
          <w:szCs w:val="24"/>
        </w:rPr>
      </w:pPr>
      <w:r>
        <w:rPr>
          <w:rFonts w:ascii="Times New Roman" w:hAnsi="Times New Roman"/>
          <w:sz w:val="24"/>
          <w:szCs w:val="24"/>
        </w:rPr>
        <w:t xml:space="preserve">Table </w:t>
      </w:r>
      <w:r>
        <w:rPr>
          <w:rFonts w:ascii="Times New Roman" w:hAnsi="Times New Roman"/>
          <w:b/>
          <w:sz w:val="24"/>
          <w:szCs w:val="24"/>
        </w:rPr>
        <w:t xml:space="preserve">4.6 </w:t>
      </w:r>
      <w:r>
        <w:rPr>
          <w:rFonts w:ascii="Times New Roman" w:hAnsi="Times New Roman"/>
          <w:sz w:val="24"/>
          <w:szCs w:val="24"/>
        </w:rPr>
        <w:t>. First Multicollinearity Test</w:t>
      </w:r>
    </w:p>
    <w:tbl>
      <w:tblPr>
        <w:tblW w:w="4673" w:type="dxa"/>
        <w:jc w:val="center"/>
        <w:tblLook w:val="04A0" w:firstRow="1" w:lastRow="0" w:firstColumn="1" w:lastColumn="0" w:noHBand="0" w:noVBand="1"/>
      </w:tblPr>
      <w:tblGrid>
        <w:gridCol w:w="2118"/>
        <w:gridCol w:w="960"/>
        <w:gridCol w:w="1595"/>
      </w:tblGrid>
      <w:tr w:rsidR="00852C70" w14:paraId="5BDDDB08" w14:textId="77777777">
        <w:trPr>
          <w:trHeight w:val="315"/>
          <w:jc w:val="center"/>
        </w:trPr>
        <w:tc>
          <w:tcPr>
            <w:tcW w:w="211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90DC025"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Variable</w:t>
            </w:r>
          </w:p>
        </w:tc>
        <w:tc>
          <w:tcPr>
            <w:tcW w:w="960" w:type="dxa"/>
            <w:tcBorders>
              <w:top w:val="single" w:sz="4" w:space="0" w:color="auto"/>
              <w:left w:val="nil"/>
              <w:bottom w:val="single" w:sz="4" w:space="0" w:color="auto"/>
              <w:right w:val="single" w:sz="4" w:space="0" w:color="auto"/>
            </w:tcBorders>
            <w:shd w:val="clear" w:color="000000" w:fill="C0C0C0"/>
            <w:noWrap/>
            <w:vAlign w:val="center"/>
            <w:hideMark/>
          </w:tcPr>
          <w:p w14:paraId="7F912E7E"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SI(Z)</w:t>
            </w:r>
          </w:p>
        </w:tc>
        <w:tc>
          <w:tcPr>
            <w:tcW w:w="1595" w:type="dxa"/>
            <w:tcBorders>
              <w:top w:val="single" w:sz="4" w:space="0" w:color="auto"/>
              <w:left w:val="nil"/>
              <w:bottom w:val="single" w:sz="4" w:space="0" w:color="auto"/>
              <w:right w:val="single" w:sz="4" w:space="0" w:color="auto"/>
            </w:tcBorders>
            <w:shd w:val="clear" w:color="000000" w:fill="C0C0C0"/>
            <w:noWrap/>
            <w:vAlign w:val="center"/>
            <w:hideMark/>
          </w:tcPr>
          <w:p w14:paraId="7FB19CEB"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KPM (Y)</w:t>
            </w:r>
          </w:p>
        </w:tc>
      </w:tr>
      <w:tr w:rsidR="00852C70" w14:paraId="7A97A6D8" w14:textId="77777777">
        <w:trPr>
          <w:trHeight w:val="315"/>
          <w:jc w:val="center"/>
        </w:trPr>
        <w:tc>
          <w:tcPr>
            <w:tcW w:w="2118" w:type="dxa"/>
            <w:tcBorders>
              <w:top w:val="nil"/>
              <w:left w:val="single" w:sz="4" w:space="0" w:color="auto"/>
              <w:bottom w:val="single" w:sz="4" w:space="0" w:color="auto"/>
              <w:right w:val="single" w:sz="4" w:space="0" w:color="auto"/>
            </w:tcBorders>
            <w:shd w:val="clear" w:color="auto" w:fill="auto"/>
            <w:noWrap/>
            <w:vAlign w:val="center"/>
            <w:hideMark/>
          </w:tcPr>
          <w:p w14:paraId="69289EE4"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PAML (X)</w:t>
            </w:r>
          </w:p>
        </w:tc>
        <w:tc>
          <w:tcPr>
            <w:tcW w:w="960" w:type="dxa"/>
            <w:tcBorders>
              <w:top w:val="nil"/>
              <w:left w:val="nil"/>
              <w:bottom w:val="single" w:sz="4" w:space="0" w:color="auto"/>
              <w:right w:val="single" w:sz="4" w:space="0" w:color="auto"/>
            </w:tcBorders>
            <w:shd w:val="clear" w:color="auto" w:fill="auto"/>
            <w:noWrap/>
            <w:vAlign w:val="center"/>
            <w:hideMark/>
          </w:tcPr>
          <w:p w14:paraId="56647AA0" w14:textId="77777777" w:rsidR="00852C70" w:rsidRDefault="000A1714">
            <w:pPr>
              <w:spacing w:before="14" w:after="0" w:line="260" w:lineRule="exact"/>
              <w:jc w:val="right"/>
              <w:rPr>
                <w:rFonts w:ascii="Times New Roman" w:hAnsi="Times New Roman"/>
                <w:color w:val="000000"/>
                <w:sz w:val="20"/>
                <w:szCs w:val="20"/>
              </w:rPr>
            </w:pPr>
            <w:r>
              <w:rPr>
                <w:rFonts w:ascii="Times New Roman" w:hAnsi="Times New Roman"/>
                <w:color w:val="000000"/>
                <w:sz w:val="24"/>
                <w:szCs w:val="20"/>
              </w:rPr>
              <w:t>1,000</w:t>
            </w:r>
          </w:p>
        </w:tc>
        <w:tc>
          <w:tcPr>
            <w:tcW w:w="1595" w:type="dxa"/>
            <w:tcBorders>
              <w:top w:val="nil"/>
              <w:left w:val="nil"/>
              <w:bottom w:val="single" w:sz="4" w:space="0" w:color="auto"/>
              <w:right w:val="single" w:sz="4" w:space="0" w:color="auto"/>
            </w:tcBorders>
            <w:shd w:val="clear" w:color="auto" w:fill="auto"/>
            <w:noWrap/>
            <w:vAlign w:val="center"/>
            <w:hideMark/>
          </w:tcPr>
          <w:p w14:paraId="67C1383F" w14:textId="77777777" w:rsidR="00852C70" w:rsidRDefault="000A1714">
            <w:pPr>
              <w:spacing w:before="14" w:after="0" w:line="260" w:lineRule="exact"/>
              <w:jc w:val="right"/>
              <w:rPr>
                <w:rFonts w:ascii="Times New Roman" w:hAnsi="Times New Roman"/>
                <w:bCs/>
                <w:color w:val="000000"/>
                <w:sz w:val="24"/>
                <w:szCs w:val="24"/>
              </w:rPr>
            </w:pPr>
            <w:r>
              <w:rPr>
                <w:rFonts w:ascii="Times New Roman" w:hAnsi="Times New Roman"/>
                <w:bCs/>
                <w:color w:val="000000"/>
                <w:sz w:val="24"/>
                <w:szCs w:val="24"/>
              </w:rPr>
              <w:t>10,227</w:t>
            </w:r>
          </w:p>
        </w:tc>
      </w:tr>
      <w:tr w:rsidR="00852C70" w14:paraId="37ADADBC" w14:textId="77777777">
        <w:trPr>
          <w:trHeight w:val="315"/>
          <w:jc w:val="center"/>
        </w:trPr>
        <w:tc>
          <w:tcPr>
            <w:tcW w:w="2118" w:type="dxa"/>
            <w:tcBorders>
              <w:top w:val="nil"/>
              <w:left w:val="single" w:sz="4" w:space="0" w:color="auto"/>
              <w:bottom w:val="single" w:sz="4" w:space="0" w:color="auto"/>
              <w:right w:val="single" w:sz="4" w:space="0" w:color="auto"/>
            </w:tcBorders>
            <w:shd w:val="clear" w:color="auto" w:fill="auto"/>
            <w:noWrap/>
            <w:vAlign w:val="center"/>
            <w:hideMark/>
          </w:tcPr>
          <w:p w14:paraId="26E8A422"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SI(Z)</w:t>
            </w:r>
          </w:p>
        </w:tc>
        <w:tc>
          <w:tcPr>
            <w:tcW w:w="960" w:type="dxa"/>
            <w:tcBorders>
              <w:top w:val="nil"/>
              <w:left w:val="nil"/>
              <w:bottom w:val="single" w:sz="4" w:space="0" w:color="auto"/>
              <w:right w:val="single" w:sz="4" w:space="0" w:color="auto"/>
            </w:tcBorders>
            <w:shd w:val="clear" w:color="auto" w:fill="auto"/>
            <w:noWrap/>
            <w:vAlign w:val="center"/>
            <w:hideMark/>
          </w:tcPr>
          <w:p w14:paraId="45ED62F9" w14:textId="77777777" w:rsidR="00852C70" w:rsidRDefault="000A1714">
            <w:pPr>
              <w:spacing w:before="14" w:after="0" w:line="260" w:lineRule="exact"/>
              <w:rPr>
                <w:rFonts w:ascii="Arial" w:hAnsi="Arial" w:cs="Arial"/>
                <w:color w:val="000000"/>
                <w:sz w:val="20"/>
                <w:szCs w:val="20"/>
              </w:rPr>
            </w:pPr>
            <w:r>
              <w:rPr>
                <w:rFonts w:ascii="Arial" w:hAnsi="Arial" w:cs="Arial"/>
                <w:color w:val="000000"/>
                <w:sz w:val="20"/>
                <w:szCs w:val="20"/>
              </w:rPr>
              <w:t> </w:t>
            </w:r>
          </w:p>
        </w:tc>
        <w:tc>
          <w:tcPr>
            <w:tcW w:w="1595" w:type="dxa"/>
            <w:tcBorders>
              <w:top w:val="nil"/>
              <w:left w:val="nil"/>
              <w:bottom w:val="single" w:sz="4" w:space="0" w:color="auto"/>
              <w:right w:val="single" w:sz="4" w:space="0" w:color="auto"/>
            </w:tcBorders>
            <w:shd w:val="clear" w:color="auto" w:fill="auto"/>
            <w:noWrap/>
            <w:vAlign w:val="center"/>
            <w:hideMark/>
          </w:tcPr>
          <w:p w14:paraId="3EFAD442" w14:textId="77777777" w:rsidR="00852C70" w:rsidRDefault="000A1714">
            <w:pPr>
              <w:spacing w:before="14" w:after="0" w:line="260" w:lineRule="exact"/>
              <w:jc w:val="right"/>
              <w:rPr>
                <w:rFonts w:ascii="Times New Roman" w:hAnsi="Times New Roman"/>
                <w:bCs/>
                <w:color w:val="000000"/>
                <w:sz w:val="24"/>
                <w:szCs w:val="24"/>
              </w:rPr>
            </w:pPr>
            <w:r>
              <w:rPr>
                <w:rFonts w:ascii="Times New Roman" w:hAnsi="Times New Roman"/>
                <w:bCs/>
                <w:color w:val="000000"/>
                <w:sz w:val="24"/>
                <w:szCs w:val="24"/>
              </w:rPr>
              <w:t>10,227</w:t>
            </w:r>
          </w:p>
        </w:tc>
      </w:tr>
    </w:tbl>
    <w:p w14:paraId="1CEEE342" w14:textId="77777777" w:rsidR="00852C70" w:rsidRDefault="000A1714">
      <w:pPr>
        <w:tabs>
          <w:tab w:val="left" w:pos="2268"/>
        </w:tabs>
        <w:spacing w:before="14" w:line="260" w:lineRule="exact"/>
        <w:rPr>
          <w:rFonts w:ascii="Times New Roman" w:hAnsi="Times New Roman"/>
          <w:sz w:val="24"/>
          <w:szCs w:val="24"/>
        </w:rPr>
      </w:pPr>
      <w:r>
        <w:rPr>
          <w:rFonts w:ascii="Times New Roman" w:hAnsi="Times New Roman"/>
          <w:sz w:val="24"/>
          <w:szCs w:val="24"/>
        </w:rPr>
        <w:tab/>
        <w:t>Source: Primary Analysis Data, 2021</w:t>
      </w:r>
    </w:p>
    <w:p w14:paraId="13912C47" w14:textId="77777777" w:rsidR="00852C70" w:rsidRDefault="000A1714">
      <w:pPr>
        <w:spacing w:before="14" w:after="0" w:line="260" w:lineRule="exact"/>
        <w:jc w:val="both"/>
        <w:rPr>
          <w:rFonts w:ascii="Times New Roman" w:hAnsi="Times New Roman"/>
          <w:bCs/>
          <w:sz w:val="24"/>
          <w:szCs w:val="24"/>
        </w:rPr>
      </w:pPr>
      <w:r>
        <w:rPr>
          <w:rFonts w:ascii="Times New Roman" w:hAnsi="Times New Roman"/>
          <w:bCs/>
          <w:sz w:val="24"/>
          <w:szCs w:val="24"/>
        </w:rPr>
        <w:t>From the table, it can be seen that there are multicollinearity values that exceed 5, even more than 10. This indicates that there is quite a lot of multicollinearity in each variable. This can influence the results of searching for direct and indirect effects of each variable. To reduce the level of multicollinearity, there are several ways, one of which is deleting several question items that make the multicollinearity value unnatural. Therefore, several question items were deleted to produce acceptable multicollinearity values for continuing the next measurement.</w:t>
      </w:r>
    </w:p>
    <w:p w14:paraId="435C5657" w14:textId="77777777" w:rsidR="00852C70" w:rsidRDefault="000A1714">
      <w:pPr>
        <w:spacing w:before="14" w:after="0" w:line="260" w:lineRule="exact"/>
        <w:jc w:val="center"/>
        <w:rPr>
          <w:rFonts w:ascii="Times New Roman" w:hAnsi="Times New Roman"/>
          <w:bCs/>
          <w:sz w:val="24"/>
          <w:szCs w:val="24"/>
        </w:rPr>
      </w:pPr>
      <w:r>
        <w:rPr>
          <w:rFonts w:ascii="Times New Roman" w:hAnsi="Times New Roman"/>
          <w:bCs/>
          <w:sz w:val="24"/>
          <w:szCs w:val="24"/>
        </w:rPr>
        <w:t xml:space="preserve">Table </w:t>
      </w:r>
      <w:r>
        <w:rPr>
          <w:rFonts w:ascii="Times New Roman" w:hAnsi="Times New Roman"/>
          <w:b/>
          <w:sz w:val="24"/>
          <w:szCs w:val="24"/>
        </w:rPr>
        <w:t xml:space="preserve">4.7. </w:t>
      </w:r>
      <w:r>
        <w:rPr>
          <w:rFonts w:ascii="Times New Roman" w:hAnsi="Times New Roman"/>
          <w:bCs/>
          <w:sz w:val="24"/>
          <w:szCs w:val="24"/>
        </w:rPr>
        <w:t>Deleted items</w:t>
      </w:r>
    </w:p>
    <w:tbl>
      <w:tblPr>
        <w:tblW w:w="4815" w:type="dxa"/>
        <w:jc w:val="center"/>
        <w:tblLook w:val="04A0" w:firstRow="1" w:lastRow="0" w:firstColumn="1" w:lastColumn="0" w:noHBand="0" w:noVBand="1"/>
      </w:tblPr>
      <w:tblGrid>
        <w:gridCol w:w="563"/>
        <w:gridCol w:w="4252"/>
      </w:tblGrid>
      <w:tr w:rsidR="00852C70" w14:paraId="2D209C43" w14:textId="77777777">
        <w:trPr>
          <w:trHeight w:val="315"/>
          <w:jc w:val="center"/>
        </w:trPr>
        <w:tc>
          <w:tcPr>
            <w:tcW w:w="56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8692A70"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NO</w:t>
            </w:r>
          </w:p>
        </w:tc>
        <w:tc>
          <w:tcPr>
            <w:tcW w:w="4252" w:type="dxa"/>
            <w:tcBorders>
              <w:top w:val="single" w:sz="4" w:space="0" w:color="auto"/>
              <w:left w:val="nil"/>
              <w:bottom w:val="single" w:sz="4" w:space="0" w:color="auto"/>
              <w:right w:val="single" w:sz="4" w:space="0" w:color="auto"/>
            </w:tcBorders>
            <w:shd w:val="clear" w:color="000000" w:fill="BFBFBF"/>
            <w:noWrap/>
            <w:vAlign w:val="center"/>
            <w:hideMark/>
          </w:tcPr>
          <w:p w14:paraId="058DD492"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Deleted items</w:t>
            </w:r>
          </w:p>
        </w:tc>
      </w:tr>
      <w:tr w:rsidR="00852C70" w14:paraId="38AB0051"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57178B2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w:t>
            </w:r>
          </w:p>
        </w:tc>
        <w:tc>
          <w:tcPr>
            <w:tcW w:w="4252" w:type="dxa"/>
            <w:tcBorders>
              <w:top w:val="nil"/>
              <w:left w:val="nil"/>
              <w:bottom w:val="single" w:sz="4" w:space="0" w:color="auto"/>
              <w:right w:val="single" w:sz="4" w:space="0" w:color="auto"/>
            </w:tcBorders>
            <w:shd w:val="clear" w:color="000000" w:fill="FFFFFF"/>
            <w:noWrap/>
            <w:vAlign w:val="center"/>
            <w:hideMark/>
          </w:tcPr>
          <w:p w14:paraId="3D426F0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BL1</w:t>
            </w:r>
          </w:p>
        </w:tc>
      </w:tr>
      <w:tr w:rsidR="00852C70" w14:paraId="068EB4DD"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1337FEE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2</w:t>
            </w:r>
          </w:p>
        </w:tc>
        <w:tc>
          <w:tcPr>
            <w:tcW w:w="4252" w:type="dxa"/>
            <w:tcBorders>
              <w:top w:val="nil"/>
              <w:left w:val="nil"/>
              <w:bottom w:val="single" w:sz="4" w:space="0" w:color="auto"/>
              <w:right w:val="single" w:sz="4" w:space="0" w:color="auto"/>
            </w:tcBorders>
            <w:shd w:val="clear" w:color="000000" w:fill="FFFFFF"/>
            <w:noWrap/>
            <w:vAlign w:val="center"/>
            <w:hideMark/>
          </w:tcPr>
          <w:p w14:paraId="663B288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KL2</w:t>
            </w:r>
          </w:p>
        </w:tc>
      </w:tr>
      <w:tr w:rsidR="00852C70" w14:paraId="67311CE6"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2BBD3264"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3</w:t>
            </w:r>
          </w:p>
        </w:tc>
        <w:tc>
          <w:tcPr>
            <w:tcW w:w="4252" w:type="dxa"/>
            <w:tcBorders>
              <w:top w:val="nil"/>
              <w:left w:val="nil"/>
              <w:bottom w:val="single" w:sz="4" w:space="0" w:color="auto"/>
              <w:right w:val="single" w:sz="4" w:space="0" w:color="auto"/>
            </w:tcBorders>
            <w:shd w:val="clear" w:color="000000" w:fill="FFFFFF"/>
            <w:noWrap/>
            <w:vAlign w:val="bottom"/>
            <w:hideMark/>
          </w:tcPr>
          <w:p w14:paraId="1442F156"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KM4</w:t>
            </w:r>
          </w:p>
        </w:tc>
      </w:tr>
      <w:tr w:rsidR="00852C70" w14:paraId="22922BBF"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622E874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4</w:t>
            </w:r>
          </w:p>
        </w:tc>
        <w:tc>
          <w:tcPr>
            <w:tcW w:w="4252" w:type="dxa"/>
            <w:tcBorders>
              <w:top w:val="nil"/>
              <w:left w:val="nil"/>
              <w:bottom w:val="single" w:sz="4" w:space="0" w:color="auto"/>
              <w:right w:val="single" w:sz="4" w:space="0" w:color="auto"/>
            </w:tcBorders>
            <w:shd w:val="clear" w:color="000000" w:fill="FFFFFF"/>
            <w:noWrap/>
            <w:vAlign w:val="bottom"/>
            <w:hideMark/>
          </w:tcPr>
          <w:p w14:paraId="2E08CC4B"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KO5</w:t>
            </w:r>
          </w:p>
        </w:tc>
      </w:tr>
      <w:tr w:rsidR="00852C70" w14:paraId="1ADCB729"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5CA4F156"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5</w:t>
            </w:r>
          </w:p>
        </w:tc>
        <w:tc>
          <w:tcPr>
            <w:tcW w:w="4252" w:type="dxa"/>
            <w:tcBorders>
              <w:top w:val="nil"/>
              <w:left w:val="nil"/>
              <w:bottom w:val="single" w:sz="4" w:space="0" w:color="auto"/>
              <w:right w:val="single" w:sz="4" w:space="0" w:color="auto"/>
            </w:tcBorders>
            <w:shd w:val="clear" w:color="000000" w:fill="FFFFFF"/>
            <w:noWrap/>
            <w:vAlign w:val="bottom"/>
            <w:hideMark/>
          </w:tcPr>
          <w:p w14:paraId="3ECB5DDD"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PR1</w:t>
            </w:r>
          </w:p>
        </w:tc>
      </w:tr>
      <w:tr w:rsidR="00852C70" w14:paraId="4A185642"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206B6B80"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6</w:t>
            </w:r>
          </w:p>
        </w:tc>
        <w:tc>
          <w:tcPr>
            <w:tcW w:w="4252" w:type="dxa"/>
            <w:tcBorders>
              <w:top w:val="nil"/>
              <w:left w:val="nil"/>
              <w:bottom w:val="single" w:sz="4" w:space="0" w:color="auto"/>
              <w:right w:val="single" w:sz="4" w:space="0" w:color="auto"/>
            </w:tcBorders>
            <w:shd w:val="clear" w:color="000000" w:fill="FFFFFF"/>
            <w:noWrap/>
            <w:vAlign w:val="bottom"/>
            <w:hideMark/>
          </w:tcPr>
          <w:p w14:paraId="5407CB8A"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PR4</w:t>
            </w:r>
          </w:p>
        </w:tc>
      </w:tr>
      <w:tr w:rsidR="00852C70" w14:paraId="0C240FD5"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22B1F5C0"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w:t>
            </w:r>
          </w:p>
        </w:tc>
        <w:tc>
          <w:tcPr>
            <w:tcW w:w="4252" w:type="dxa"/>
            <w:tcBorders>
              <w:top w:val="nil"/>
              <w:left w:val="nil"/>
              <w:bottom w:val="single" w:sz="4" w:space="0" w:color="auto"/>
              <w:right w:val="single" w:sz="4" w:space="0" w:color="auto"/>
            </w:tcBorders>
            <w:shd w:val="clear" w:color="000000" w:fill="FFFFFF"/>
            <w:noWrap/>
            <w:vAlign w:val="bottom"/>
            <w:hideMark/>
          </w:tcPr>
          <w:p w14:paraId="202D7D13"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TK1</w:t>
            </w:r>
          </w:p>
        </w:tc>
      </w:tr>
      <w:tr w:rsidR="00852C70" w14:paraId="01C26613"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5E800E42"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w:t>
            </w:r>
          </w:p>
        </w:tc>
        <w:tc>
          <w:tcPr>
            <w:tcW w:w="4252" w:type="dxa"/>
            <w:tcBorders>
              <w:top w:val="nil"/>
              <w:left w:val="nil"/>
              <w:bottom w:val="single" w:sz="4" w:space="0" w:color="auto"/>
              <w:right w:val="single" w:sz="4" w:space="0" w:color="auto"/>
            </w:tcBorders>
            <w:shd w:val="clear" w:color="000000" w:fill="FFFFFF"/>
            <w:noWrap/>
            <w:vAlign w:val="bottom"/>
            <w:hideMark/>
          </w:tcPr>
          <w:p w14:paraId="71AFD66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TK2</w:t>
            </w:r>
          </w:p>
        </w:tc>
      </w:tr>
      <w:tr w:rsidR="00852C70" w14:paraId="7FFD4622"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19D2A339"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9</w:t>
            </w:r>
          </w:p>
        </w:tc>
        <w:tc>
          <w:tcPr>
            <w:tcW w:w="4252" w:type="dxa"/>
            <w:tcBorders>
              <w:top w:val="nil"/>
              <w:left w:val="nil"/>
              <w:bottom w:val="single" w:sz="4" w:space="0" w:color="auto"/>
              <w:right w:val="single" w:sz="4" w:space="0" w:color="auto"/>
            </w:tcBorders>
            <w:shd w:val="clear" w:color="000000" w:fill="FFFFFF"/>
            <w:noWrap/>
            <w:vAlign w:val="bottom"/>
            <w:hideMark/>
          </w:tcPr>
          <w:p w14:paraId="40CC7DA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TK3</w:t>
            </w:r>
          </w:p>
        </w:tc>
      </w:tr>
      <w:tr w:rsidR="00852C70" w14:paraId="514C01E2" w14:textId="77777777">
        <w:trPr>
          <w:trHeight w:val="315"/>
          <w:jc w:val="center"/>
        </w:trPr>
        <w:tc>
          <w:tcPr>
            <w:tcW w:w="563" w:type="dxa"/>
            <w:tcBorders>
              <w:top w:val="nil"/>
              <w:left w:val="single" w:sz="4" w:space="0" w:color="auto"/>
              <w:bottom w:val="single" w:sz="4" w:space="0" w:color="auto"/>
              <w:right w:val="single" w:sz="4" w:space="0" w:color="auto"/>
            </w:tcBorders>
            <w:shd w:val="clear" w:color="000000" w:fill="BFBFBF"/>
            <w:noWrap/>
            <w:vAlign w:val="bottom"/>
            <w:hideMark/>
          </w:tcPr>
          <w:p w14:paraId="327877B8"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10</w:t>
            </w:r>
          </w:p>
        </w:tc>
        <w:tc>
          <w:tcPr>
            <w:tcW w:w="4252" w:type="dxa"/>
            <w:tcBorders>
              <w:top w:val="nil"/>
              <w:left w:val="nil"/>
              <w:bottom w:val="single" w:sz="4" w:space="0" w:color="auto"/>
              <w:right w:val="single" w:sz="4" w:space="0" w:color="auto"/>
            </w:tcBorders>
            <w:shd w:val="clear" w:color="000000" w:fill="FFFFFF"/>
            <w:noWrap/>
            <w:vAlign w:val="bottom"/>
            <w:hideMark/>
          </w:tcPr>
          <w:p w14:paraId="5295A0F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TK4</w:t>
            </w:r>
          </w:p>
        </w:tc>
      </w:tr>
    </w:tbl>
    <w:p w14:paraId="6BF12E1D" w14:textId="77777777" w:rsidR="00852C70" w:rsidRDefault="000A1714">
      <w:pPr>
        <w:tabs>
          <w:tab w:val="left" w:pos="2268"/>
        </w:tabs>
        <w:spacing w:before="14" w:line="260" w:lineRule="exact"/>
        <w:rPr>
          <w:rFonts w:ascii="Times New Roman" w:hAnsi="Times New Roman"/>
          <w:sz w:val="24"/>
          <w:szCs w:val="24"/>
        </w:rPr>
      </w:pPr>
      <w:r>
        <w:rPr>
          <w:rFonts w:ascii="Times New Roman" w:hAnsi="Times New Roman"/>
          <w:sz w:val="24"/>
          <w:szCs w:val="24"/>
        </w:rPr>
        <w:tab/>
        <w:t>Source: Primary Analysis Data, 2021</w:t>
      </w:r>
    </w:p>
    <w:p w14:paraId="1E8307C6" w14:textId="77777777" w:rsidR="00852C70" w:rsidRDefault="00852C70">
      <w:pPr>
        <w:spacing w:before="14" w:after="0" w:line="260" w:lineRule="exact"/>
        <w:rPr>
          <w:rFonts w:ascii="Times New Roman" w:hAnsi="Times New Roman"/>
          <w:bCs/>
          <w:sz w:val="24"/>
          <w:szCs w:val="24"/>
        </w:rPr>
      </w:pPr>
    </w:p>
    <w:p w14:paraId="23CDE683" w14:textId="77777777" w:rsidR="00852C70" w:rsidRDefault="000A1714">
      <w:pPr>
        <w:spacing w:before="14" w:after="0" w:line="260" w:lineRule="exact"/>
        <w:jc w:val="center"/>
        <w:rPr>
          <w:rFonts w:ascii="Times New Roman" w:hAnsi="Times New Roman"/>
          <w:bCs/>
          <w:sz w:val="24"/>
          <w:szCs w:val="24"/>
        </w:rPr>
      </w:pPr>
      <w:r>
        <w:rPr>
          <w:rFonts w:ascii="Times New Roman" w:hAnsi="Times New Roman"/>
          <w:b/>
          <w:bCs/>
          <w:sz w:val="24"/>
          <w:szCs w:val="24"/>
        </w:rPr>
        <w:t>Table</w:t>
      </w:r>
      <w:r>
        <w:rPr>
          <w:rFonts w:ascii="Times New Roman" w:hAnsi="Times New Roman"/>
          <w:bCs/>
          <w:sz w:val="24"/>
          <w:szCs w:val="24"/>
        </w:rPr>
        <w:t xml:space="preserve"> </w:t>
      </w:r>
      <w:r>
        <w:rPr>
          <w:rFonts w:ascii="Times New Roman" w:hAnsi="Times New Roman"/>
          <w:b/>
          <w:sz w:val="24"/>
          <w:szCs w:val="24"/>
        </w:rPr>
        <w:t xml:space="preserve">4.8. </w:t>
      </w:r>
      <w:r>
        <w:rPr>
          <w:rFonts w:ascii="Times New Roman" w:hAnsi="Times New Roman"/>
          <w:sz w:val="24"/>
          <w:szCs w:val="24"/>
        </w:rPr>
        <w:t>Second Multicollinearity Test</w:t>
      </w:r>
    </w:p>
    <w:tbl>
      <w:tblPr>
        <w:tblW w:w="4900" w:type="dxa"/>
        <w:jc w:val="center"/>
        <w:tblLook w:val="04A0" w:firstRow="1" w:lastRow="0" w:firstColumn="1" w:lastColumn="0" w:noHBand="0" w:noVBand="1"/>
      </w:tblPr>
      <w:tblGrid>
        <w:gridCol w:w="1780"/>
        <w:gridCol w:w="2160"/>
        <w:gridCol w:w="960"/>
      </w:tblGrid>
      <w:tr w:rsidR="00852C70" w14:paraId="1D14C66B" w14:textId="77777777">
        <w:trPr>
          <w:trHeight w:val="315"/>
          <w:jc w:val="center"/>
        </w:trPr>
        <w:tc>
          <w:tcPr>
            <w:tcW w:w="17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10F02E"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Variable</w:t>
            </w:r>
          </w:p>
        </w:tc>
        <w:tc>
          <w:tcPr>
            <w:tcW w:w="2160" w:type="dxa"/>
            <w:tcBorders>
              <w:top w:val="single" w:sz="4" w:space="0" w:color="auto"/>
              <w:left w:val="nil"/>
              <w:bottom w:val="single" w:sz="4" w:space="0" w:color="auto"/>
              <w:right w:val="single" w:sz="4" w:space="0" w:color="auto"/>
            </w:tcBorders>
            <w:shd w:val="clear" w:color="000000" w:fill="C0C0C0"/>
            <w:noWrap/>
            <w:vAlign w:val="center"/>
            <w:hideMark/>
          </w:tcPr>
          <w:p w14:paraId="7DDADE36"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SI(Z)</w:t>
            </w:r>
          </w:p>
        </w:tc>
        <w:tc>
          <w:tcPr>
            <w:tcW w:w="960" w:type="dxa"/>
            <w:tcBorders>
              <w:top w:val="single" w:sz="4" w:space="0" w:color="auto"/>
              <w:left w:val="nil"/>
              <w:bottom w:val="single" w:sz="4" w:space="0" w:color="auto"/>
              <w:right w:val="single" w:sz="4" w:space="0" w:color="auto"/>
            </w:tcBorders>
            <w:shd w:val="clear" w:color="000000" w:fill="C0C0C0"/>
            <w:noWrap/>
            <w:vAlign w:val="center"/>
            <w:hideMark/>
          </w:tcPr>
          <w:p w14:paraId="508BC516"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KPM (Y)</w:t>
            </w:r>
          </w:p>
        </w:tc>
      </w:tr>
      <w:tr w:rsidR="00852C70" w14:paraId="539C4258" w14:textId="77777777">
        <w:trPr>
          <w:trHeight w:val="315"/>
          <w:jc w:val="center"/>
        </w:trPr>
        <w:tc>
          <w:tcPr>
            <w:tcW w:w="1780" w:type="dxa"/>
            <w:tcBorders>
              <w:top w:val="nil"/>
              <w:left w:val="single" w:sz="4" w:space="0" w:color="auto"/>
              <w:bottom w:val="single" w:sz="4" w:space="0" w:color="auto"/>
              <w:right w:val="single" w:sz="4" w:space="0" w:color="auto"/>
            </w:tcBorders>
            <w:shd w:val="clear" w:color="000000" w:fill="C0C0C0"/>
            <w:noWrap/>
            <w:vAlign w:val="center"/>
            <w:hideMark/>
          </w:tcPr>
          <w:p w14:paraId="410CC027"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PAML (X)</w:t>
            </w:r>
          </w:p>
        </w:tc>
        <w:tc>
          <w:tcPr>
            <w:tcW w:w="2160" w:type="dxa"/>
            <w:tcBorders>
              <w:top w:val="nil"/>
              <w:left w:val="nil"/>
              <w:bottom w:val="single" w:sz="4" w:space="0" w:color="auto"/>
              <w:right w:val="single" w:sz="4" w:space="0" w:color="auto"/>
            </w:tcBorders>
            <w:shd w:val="clear" w:color="auto" w:fill="auto"/>
            <w:noWrap/>
            <w:vAlign w:val="center"/>
            <w:hideMark/>
          </w:tcPr>
          <w:p w14:paraId="2134645F" w14:textId="77777777" w:rsidR="00852C70" w:rsidRDefault="000A1714">
            <w:pPr>
              <w:spacing w:before="14" w:after="0" w:line="260" w:lineRule="exact"/>
              <w:jc w:val="right"/>
              <w:rPr>
                <w:rFonts w:ascii="Times New Roman" w:hAnsi="Times New Roman"/>
                <w:color w:val="000000"/>
                <w:sz w:val="24"/>
                <w:szCs w:val="20"/>
              </w:rPr>
            </w:pPr>
            <w:r>
              <w:rPr>
                <w:rFonts w:ascii="Times New Roman" w:hAnsi="Times New Roman"/>
                <w:color w:val="000000"/>
                <w:sz w:val="24"/>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71FB5FEF" w14:textId="77777777" w:rsidR="00852C70" w:rsidRDefault="000A1714">
            <w:pPr>
              <w:spacing w:before="14" w:after="0" w:line="260" w:lineRule="exact"/>
              <w:jc w:val="right"/>
              <w:rPr>
                <w:rFonts w:ascii="Times New Roman" w:hAnsi="Times New Roman"/>
                <w:color w:val="000000"/>
                <w:sz w:val="24"/>
                <w:szCs w:val="20"/>
              </w:rPr>
            </w:pPr>
            <w:r>
              <w:rPr>
                <w:rFonts w:ascii="Times New Roman" w:hAnsi="Times New Roman"/>
                <w:color w:val="000000"/>
                <w:sz w:val="24"/>
                <w:szCs w:val="20"/>
              </w:rPr>
              <w:t>4,730</w:t>
            </w:r>
          </w:p>
        </w:tc>
      </w:tr>
      <w:tr w:rsidR="00852C70" w14:paraId="5C297E88" w14:textId="77777777">
        <w:trPr>
          <w:trHeight w:val="315"/>
          <w:jc w:val="center"/>
        </w:trPr>
        <w:tc>
          <w:tcPr>
            <w:tcW w:w="1780" w:type="dxa"/>
            <w:tcBorders>
              <w:top w:val="nil"/>
              <w:left w:val="single" w:sz="4" w:space="0" w:color="auto"/>
              <w:bottom w:val="single" w:sz="4" w:space="0" w:color="auto"/>
              <w:right w:val="single" w:sz="4" w:space="0" w:color="auto"/>
            </w:tcBorders>
            <w:shd w:val="clear" w:color="000000" w:fill="C0C0C0"/>
            <w:noWrap/>
            <w:vAlign w:val="center"/>
            <w:hideMark/>
          </w:tcPr>
          <w:p w14:paraId="2CAA00D0"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SI(Z)</w:t>
            </w:r>
          </w:p>
        </w:tc>
        <w:tc>
          <w:tcPr>
            <w:tcW w:w="2160" w:type="dxa"/>
            <w:tcBorders>
              <w:top w:val="nil"/>
              <w:left w:val="nil"/>
              <w:bottom w:val="single" w:sz="4" w:space="0" w:color="auto"/>
              <w:right w:val="single" w:sz="4" w:space="0" w:color="auto"/>
            </w:tcBorders>
            <w:shd w:val="clear" w:color="auto" w:fill="auto"/>
            <w:noWrap/>
            <w:vAlign w:val="center"/>
            <w:hideMark/>
          </w:tcPr>
          <w:p w14:paraId="10EDF30C" w14:textId="77777777" w:rsidR="00852C70" w:rsidRDefault="000A1714">
            <w:pPr>
              <w:spacing w:before="14" w:after="0" w:line="260" w:lineRule="exact"/>
              <w:rPr>
                <w:rFonts w:ascii="Times New Roman" w:hAnsi="Times New Roman"/>
                <w:color w:val="000000"/>
                <w:sz w:val="24"/>
                <w:szCs w:val="20"/>
              </w:rPr>
            </w:pPr>
            <w:r>
              <w:rPr>
                <w:rFonts w:ascii="Times New Roman" w:hAnsi="Times New Roman"/>
                <w:color w:val="000000"/>
                <w:sz w:val="24"/>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391D1C7" w14:textId="77777777" w:rsidR="00852C70" w:rsidRDefault="000A1714">
            <w:pPr>
              <w:spacing w:before="14" w:after="0" w:line="260" w:lineRule="exact"/>
              <w:jc w:val="right"/>
              <w:rPr>
                <w:rFonts w:ascii="Times New Roman" w:hAnsi="Times New Roman"/>
                <w:color w:val="000000"/>
                <w:sz w:val="24"/>
                <w:szCs w:val="20"/>
              </w:rPr>
            </w:pPr>
            <w:r>
              <w:rPr>
                <w:rFonts w:ascii="Times New Roman" w:hAnsi="Times New Roman"/>
                <w:color w:val="000000"/>
                <w:sz w:val="24"/>
                <w:szCs w:val="20"/>
              </w:rPr>
              <w:t>4,730</w:t>
            </w:r>
          </w:p>
        </w:tc>
      </w:tr>
    </w:tbl>
    <w:p w14:paraId="3EE80CEF" w14:textId="77777777" w:rsidR="00852C70" w:rsidRDefault="000A1714">
      <w:pPr>
        <w:tabs>
          <w:tab w:val="left" w:pos="2268"/>
        </w:tabs>
        <w:spacing w:before="14" w:line="260" w:lineRule="exact"/>
        <w:rPr>
          <w:rFonts w:ascii="Times New Roman" w:hAnsi="Times New Roman"/>
          <w:sz w:val="24"/>
          <w:szCs w:val="24"/>
        </w:rPr>
      </w:pPr>
      <w:r>
        <w:rPr>
          <w:rFonts w:ascii="Times New Roman" w:hAnsi="Times New Roman"/>
          <w:sz w:val="24"/>
          <w:szCs w:val="24"/>
        </w:rPr>
        <w:tab/>
        <w:t>Source: Primary Analysis Data, 2021</w:t>
      </w:r>
    </w:p>
    <w:p w14:paraId="67450B62" w14:textId="77777777" w:rsidR="00852C70" w:rsidRDefault="000A1714">
      <w:pPr>
        <w:spacing w:before="14" w:after="0" w:line="260" w:lineRule="exact"/>
        <w:jc w:val="both"/>
        <w:rPr>
          <w:rFonts w:ascii="Times New Roman" w:hAnsi="Times New Roman"/>
          <w:bCs/>
          <w:sz w:val="24"/>
          <w:szCs w:val="24"/>
        </w:rPr>
      </w:pPr>
      <w:r>
        <w:rPr>
          <w:rFonts w:ascii="Times New Roman" w:hAnsi="Times New Roman"/>
          <w:bCs/>
          <w:sz w:val="24"/>
          <w:szCs w:val="24"/>
        </w:rPr>
        <w:t xml:space="preserve">The second measurement for the multicollinearity test shows that the VIF has a value according to the requirements, namely &lt;3.5 to &lt;5. This can be seen from table 4.8. Even though there was a reduction in question items, there were no significant changes to the validity and reliability </w:t>
      </w:r>
      <w:r>
        <w:rPr>
          <w:rFonts w:ascii="Times New Roman" w:hAnsi="Times New Roman"/>
          <w:bCs/>
          <w:sz w:val="24"/>
          <w:szCs w:val="24"/>
        </w:rPr>
        <w:lastRenderedPageBreak/>
        <w:t>testing that had been carried out previously. Because there is no multicollinearity, further testing can be carried out to find the influence of each variable.</w:t>
      </w:r>
    </w:p>
    <w:p w14:paraId="5ED29148" w14:textId="77777777" w:rsidR="00852C70" w:rsidRDefault="000A1714">
      <w:pPr>
        <w:tabs>
          <w:tab w:val="left" w:pos="5340"/>
        </w:tabs>
        <w:spacing w:before="14" w:line="260" w:lineRule="exact"/>
        <w:jc w:val="both"/>
        <w:rPr>
          <w:rFonts w:ascii="Times New Roman" w:hAnsi="Times New Roman"/>
          <w:b/>
          <w:i/>
          <w:sz w:val="24"/>
          <w:szCs w:val="24"/>
        </w:rPr>
      </w:pPr>
      <w:r>
        <w:rPr>
          <w:rFonts w:ascii="Times New Roman" w:hAnsi="Times New Roman"/>
          <w:b/>
          <w:sz w:val="24"/>
          <w:szCs w:val="24"/>
        </w:rPr>
        <w:t xml:space="preserve">4.2.3. Structural Model Analysis ( </w:t>
      </w:r>
      <w:r>
        <w:rPr>
          <w:rFonts w:ascii="Times New Roman" w:hAnsi="Times New Roman"/>
          <w:b/>
          <w:i/>
          <w:sz w:val="24"/>
          <w:szCs w:val="24"/>
        </w:rPr>
        <w:t>Inner Model)</w:t>
      </w:r>
      <w:r>
        <w:rPr>
          <w:rFonts w:ascii="Times New Roman" w:hAnsi="Times New Roman"/>
          <w:b/>
          <w:i/>
          <w:sz w:val="24"/>
          <w:szCs w:val="24"/>
        </w:rPr>
        <w:tab/>
      </w:r>
    </w:p>
    <w:p w14:paraId="4F1C5976" w14:textId="77777777" w:rsidR="00852C70" w:rsidRDefault="000A1714">
      <w:pPr>
        <w:spacing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2B084516" wp14:editId="774F2FDC">
            <wp:extent cx="5224145" cy="4053840"/>
            <wp:effectExtent l="0" t="0" r="0" b="3810"/>
            <wp:docPr id="10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cstate="print"/>
                    <a:srcRect l="20064" r="-6111"/>
                    <a:stretch/>
                  </pic:blipFill>
                  <pic:spPr>
                    <a:xfrm>
                      <a:off x="0" y="0"/>
                      <a:ext cx="5224145" cy="4053840"/>
                    </a:xfrm>
                    <a:prstGeom prst="rect">
                      <a:avLst/>
                    </a:prstGeom>
                    <a:ln>
                      <a:noFill/>
                    </a:ln>
                  </pic:spPr>
                </pic:pic>
              </a:graphicData>
            </a:graphic>
          </wp:inline>
        </w:drawing>
      </w:r>
    </w:p>
    <w:p w14:paraId="0DA0E9B3" w14:textId="77777777" w:rsidR="00852C70" w:rsidRDefault="000A1714">
      <w:pPr>
        <w:tabs>
          <w:tab w:val="left" w:pos="5340"/>
        </w:tabs>
        <w:spacing w:line="240" w:lineRule="auto"/>
        <w:jc w:val="center"/>
        <w:rPr>
          <w:rFonts w:ascii="Times New Roman" w:hAnsi="Times New Roman"/>
          <w:b/>
          <w:sz w:val="24"/>
          <w:szCs w:val="24"/>
        </w:rPr>
      </w:pPr>
      <w:r>
        <w:rPr>
          <w:rFonts w:ascii="Times New Roman" w:hAnsi="Times New Roman"/>
          <w:b/>
          <w:i/>
          <w:sz w:val="24"/>
          <w:szCs w:val="24"/>
        </w:rPr>
        <w:t>Figure 4.3. Inner Model</w:t>
      </w:r>
    </w:p>
    <w:p w14:paraId="713225BB" w14:textId="77777777" w:rsidR="00852C70" w:rsidRDefault="000A1714">
      <w:pPr>
        <w:spacing w:before="14" w:line="260" w:lineRule="exact"/>
        <w:ind w:firstLine="720"/>
        <w:jc w:val="both"/>
        <w:rPr>
          <w:rFonts w:ascii="Times New Roman" w:hAnsi="Times New Roman"/>
          <w:sz w:val="24"/>
          <w:szCs w:val="24"/>
        </w:rPr>
      </w:pPr>
      <w:r>
        <w:rPr>
          <w:rFonts w:ascii="Times New Roman" w:hAnsi="Times New Roman"/>
          <w:sz w:val="24"/>
          <w:szCs w:val="24"/>
        </w:rPr>
        <w:t xml:space="preserve">The inner model shows the strength of estimates between latent variables or constructs. This section explains the results of </w:t>
      </w:r>
      <w:r>
        <w:rPr>
          <w:rFonts w:ascii="Times New Roman" w:hAnsi="Times New Roman"/>
          <w:i/>
          <w:sz w:val="24"/>
          <w:szCs w:val="24"/>
        </w:rPr>
        <w:t xml:space="preserve">the goodness of fit test </w:t>
      </w:r>
      <w:r>
        <w:rPr>
          <w:rFonts w:ascii="Times New Roman" w:hAnsi="Times New Roman"/>
          <w:sz w:val="24"/>
          <w:szCs w:val="24"/>
        </w:rPr>
        <w:t>and hypothesis testing.</w:t>
      </w:r>
    </w:p>
    <w:p w14:paraId="2BDE6F7F"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 xml:space="preserve">4.2.3.1. Model Feasibility Analysis ( </w:t>
      </w:r>
      <w:r>
        <w:rPr>
          <w:rFonts w:ascii="Times New Roman" w:hAnsi="Times New Roman"/>
          <w:b/>
          <w:i/>
          <w:sz w:val="24"/>
          <w:szCs w:val="24"/>
        </w:rPr>
        <w:t>Goodness of Fit)</w:t>
      </w:r>
    </w:p>
    <w:p w14:paraId="0F6818A8" w14:textId="77777777" w:rsidR="00852C70" w:rsidRDefault="000A1714">
      <w:pPr>
        <w:spacing w:before="14" w:after="0" w:line="260" w:lineRule="exact"/>
        <w:jc w:val="both"/>
        <w:rPr>
          <w:rFonts w:ascii="Times New Roman" w:hAnsi="Times New Roman"/>
          <w:sz w:val="24"/>
          <w:szCs w:val="24"/>
        </w:rPr>
      </w:pPr>
      <w:r>
        <w:rPr>
          <w:rFonts w:ascii="Times New Roman" w:hAnsi="Times New Roman"/>
          <w:sz w:val="24"/>
          <w:szCs w:val="24"/>
          <w:lang w:val="id-ID"/>
        </w:rPr>
        <w:t xml:space="preserve">This test is to determine whether the model formed is suitable for research or not by looking at the research results </w:t>
      </w:r>
      <w:r>
        <w:rPr>
          <w:rFonts w:ascii="Times New Roman" w:hAnsi="Times New Roman"/>
          <w:sz w:val="24"/>
          <w:szCs w:val="24"/>
        </w:rPr>
        <w:t>.</w:t>
      </w:r>
    </w:p>
    <w:p w14:paraId="27869D61" w14:textId="77777777" w:rsidR="00852C70" w:rsidRDefault="000A1714">
      <w:pPr>
        <w:spacing w:before="14" w:after="0" w:line="260" w:lineRule="exact"/>
        <w:jc w:val="center"/>
        <w:rPr>
          <w:rFonts w:ascii="Times New Roman" w:hAnsi="Times New Roman"/>
          <w:sz w:val="24"/>
          <w:szCs w:val="24"/>
        </w:rPr>
      </w:pPr>
      <w:r>
        <w:rPr>
          <w:rFonts w:ascii="Times New Roman" w:hAnsi="Times New Roman"/>
          <w:b/>
          <w:sz w:val="24"/>
          <w:szCs w:val="24"/>
        </w:rPr>
        <w:t xml:space="preserve">Table 4.9. </w:t>
      </w:r>
      <w:r>
        <w:rPr>
          <w:rFonts w:ascii="Times New Roman" w:hAnsi="Times New Roman"/>
          <w:sz w:val="24"/>
          <w:szCs w:val="24"/>
        </w:rPr>
        <w:t>R Square Results</w:t>
      </w:r>
    </w:p>
    <w:tbl>
      <w:tblPr>
        <w:tblW w:w="4673" w:type="dxa"/>
        <w:jc w:val="center"/>
        <w:tblLook w:val="04A0" w:firstRow="1" w:lastRow="0" w:firstColumn="1" w:lastColumn="0" w:noHBand="0" w:noVBand="1"/>
      </w:tblPr>
      <w:tblGrid>
        <w:gridCol w:w="1844"/>
        <w:gridCol w:w="992"/>
        <w:gridCol w:w="1837"/>
      </w:tblGrid>
      <w:tr w:rsidR="00852C70" w14:paraId="3CAF8D8F" w14:textId="77777777">
        <w:trPr>
          <w:trHeight w:val="315"/>
          <w:jc w:val="center"/>
        </w:trPr>
        <w:tc>
          <w:tcPr>
            <w:tcW w:w="18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2505C7D"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Variable</w:t>
            </w:r>
          </w:p>
        </w:tc>
        <w:tc>
          <w:tcPr>
            <w:tcW w:w="992" w:type="dxa"/>
            <w:tcBorders>
              <w:top w:val="single" w:sz="4" w:space="0" w:color="auto"/>
              <w:left w:val="nil"/>
              <w:bottom w:val="single" w:sz="4" w:space="0" w:color="auto"/>
              <w:right w:val="single" w:sz="4" w:space="0" w:color="auto"/>
            </w:tcBorders>
            <w:shd w:val="clear" w:color="000000" w:fill="C0C0C0"/>
            <w:noWrap/>
            <w:vAlign w:val="center"/>
            <w:hideMark/>
          </w:tcPr>
          <w:p w14:paraId="0FF927D7"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R Square</w:t>
            </w:r>
          </w:p>
        </w:tc>
        <w:tc>
          <w:tcPr>
            <w:tcW w:w="1837" w:type="dxa"/>
            <w:tcBorders>
              <w:top w:val="single" w:sz="4" w:space="0" w:color="auto"/>
              <w:left w:val="nil"/>
              <w:bottom w:val="single" w:sz="4" w:space="0" w:color="auto"/>
              <w:right w:val="single" w:sz="4" w:space="0" w:color="auto"/>
            </w:tcBorders>
            <w:shd w:val="clear" w:color="000000" w:fill="C0C0C0"/>
            <w:noWrap/>
            <w:vAlign w:val="center"/>
            <w:hideMark/>
          </w:tcPr>
          <w:p w14:paraId="647A2378" w14:textId="77777777" w:rsidR="00852C70" w:rsidRDefault="000A1714">
            <w:pPr>
              <w:spacing w:before="14" w:after="0" w:line="260" w:lineRule="exact"/>
              <w:rPr>
                <w:rFonts w:ascii="Times New Roman" w:hAnsi="Times New Roman"/>
                <w:i/>
                <w:color w:val="000000"/>
                <w:sz w:val="24"/>
                <w:szCs w:val="24"/>
              </w:rPr>
            </w:pPr>
            <w:r>
              <w:rPr>
                <w:rFonts w:ascii="Times New Roman" w:hAnsi="Times New Roman"/>
                <w:i/>
                <w:color w:val="000000"/>
                <w:sz w:val="24"/>
                <w:szCs w:val="24"/>
              </w:rPr>
              <w:t>R Square Adjusted</w:t>
            </w:r>
          </w:p>
        </w:tc>
      </w:tr>
      <w:tr w:rsidR="00852C70" w14:paraId="5DF33CED" w14:textId="77777777">
        <w:trPr>
          <w:trHeight w:val="315"/>
          <w:jc w:val="center"/>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5D66E0F"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SI(Z)</w:t>
            </w:r>
          </w:p>
        </w:tc>
        <w:tc>
          <w:tcPr>
            <w:tcW w:w="992" w:type="dxa"/>
            <w:tcBorders>
              <w:top w:val="nil"/>
              <w:left w:val="nil"/>
              <w:bottom w:val="single" w:sz="4" w:space="0" w:color="auto"/>
              <w:right w:val="single" w:sz="4" w:space="0" w:color="auto"/>
            </w:tcBorders>
            <w:shd w:val="clear" w:color="000000" w:fill="FFFFFF"/>
            <w:noWrap/>
            <w:vAlign w:val="center"/>
            <w:hideMark/>
          </w:tcPr>
          <w:p w14:paraId="7E48F762"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,789</w:t>
            </w:r>
          </w:p>
        </w:tc>
        <w:tc>
          <w:tcPr>
            <w:tcW w:w="1837" w:type="dxa"/>
            <w:tcBorders>
              <w:top w:val="nil"/>
              <w:left w:val="nil"/>
              <w:bottom w:val="single" w:sz="4" w:space="0" w:color="auto"/>
              <w:right w:val="single" w:sz="4" w:space="0" w:color="auto"/>
            </w:tcBorders>
            <w:shd w:val="clear" w:color="000000" w:fill="FFFFFF"/>
            <w:noWrap/>
            <w:vAlign w:val="center"/>
            <w:hideMark/>
          </w:tcPr>
          <w:p w14:paraId="504764CF"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,786</w:t>
            </w:r>
          </w:p>
        </w:tc>
      </w:tr>
      <w:tr w:rsidR="00852C70" w14:paraId="6E990C91" w14:textId="77777777">
        <w:trPr>
          <w:trHeight w:val="315"/>
          <w:jc w:val="center"/>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5775473C"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KPM (Y)</w:t>
            </w:r>
          </w:p>
        </w:tc>
        <w:tc>
          <w:tcPr>
            <w:tcW w:w="992" w:type="dxa"/>
            <w:tcBorders>
              <w:top w:val="nil"/>
              <w:left w:val="nil"/>
              <w:bottom w:val="single" w:sz="4" w:space="0" w:color="auto"/>
              <w:right w:val="single" w:sz="4" w:space="0" w:color="auto"/>
            </w:tcBorders>
            <w:shd w:val="clear" w:color="000000" w:fill="FFFFFF"/>
            <w:noWrap/>
            <w:vAlign w:val="center"/>
            <w:hideMark/>
          </w:tcPr>
          <w:p w14:paraId="493A9B4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,865</w:t>
            </w:r>
          </w:p>
        </w:tc>
        <w:tc>
          <w:tcPr>
            <w:tcW w:w="1837" w:type="dxa"/>
            <w:tcBorders>
              <w:top w:val="nil"/>
              <w:left w:val="nil"/>
              <w:bottom w:val="single" w:sz="4" w:space="0" w:color="auto"/>
              <w:right w:val="single" w:sz="4" w:space="0" w:color="auto"/>
            </w:tcBorders>
            <w:shd w:val="clear" w:color="000000" w:fill="FFFFFF"/>
            <w:noWrap/>
            <w:vAlign w:val="center"/>
            <w:hideMark/>
          </w:tcPr>
          <w:p w14:paraId="6864658F"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,862</w:t>
            </w:r>
          </w:p>
        </w:tc>
      </w:tr>
    </w:tbl>
    <w:p w14:paraId="00840CEB" w14:textId="77777777" w:rsidR="00852C70" w:rsidRDefault="000A1714">
      <w:pPr>
        <w:tabs>
          <w:tab w:val="left" w:pos="2268"/>
        </w:tabs>
        <w:spacing w:before="14" w:line="260" w:lineRule="exact"/>
        <w:rPr>
          <w:rFonts w:ascii="Times New Roman" w:hAnsi="Times New Roman"/>
          <w:sz w:val="24"/>
          <w:szCs w:val="24"/>
        </w:rPr>
      </w:pPr>
      <w:r>
        <w:rPr>
          <w:rFonts w:ascii="Times New Roman" w:hAnsi="Times New Roman"/>
          <w:sz w:val="24"/>
          <w:szCs w:val="24"/>
        </w:rPr>
        <w:tab/>
        <w:t>Source: Primary Analysis Data, 2021</w:t>
      </w:r>
    </w:p>
    <w:p w14:paraId="64F038C2"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 xml:space="preserve">The R-Square table above is used to see the influence of environmental management accounting practice variables on information systems and the influence of environmental management accounting practice variables on manufacturing company performance. Based on the data in the table above, it is known that the influence of environmental management accounting practice variables on the information system is 0.789 </w:t>
      </w:r>
      <w:r>
        <w:rPr>
          <w:rFonts w:ascii="Times New Roman" w:hAnsi="Times New Roman"/>
          <w:color w:val="000000"/>
          <w:sz w:val="24"/>
          <w:szCs w:val="24"/>
        </w:rPr>
        <w:t xml:space="preserve">or </w:t>
      </w:r>
      <w:r>
        <w:rPr>
          <w:rFonts w:ascii="Times New Roman" w:hAnsi="Times New Roman"/>
          <w:sz w:val="24"/>
          <w:szCs w:val="24"/>
        </w:rPr>
        <w:t xml:space="preserve">78.9% and the influence of environmental management accounting practice variables on the performance of manufacturing companies is 0.865 </w:t>
      </w:r>
      <w:r>
        <w:rPr>
          <w:rFonts w:ascii="Times New Roman" w:hAnsi="Times New Roman"/>
          <w:color w:val="000000"/>
          <w:sz w:val="24"/>
          <w:szCs w:val="24"/>
        </w:rPr>
        <w:t xml:space="preserve">or </w:t>
      </w:r>
      <w:r>
        <w:rPr>
          <w:rFonts w:ascii="Times New Roman" w:hAnsi="Times New Roman"/>
          <w:sz w:val="24"/>
          <w:szCs w:val="24"/>
        </w:rPr>
        <w:t>86.5%.</w:t>
      </w:r>
    </w:p>
    <w:p w14:paraId="6EBE5CD1" w14:textId="77777777" w:rsidR="00852C70" w:rsidRDefault="000A1714">
      <w:pPr>
        <w:spacing w:before="14" w:after="0" w:line="260" w:lineRule="exact"/>
        <w:jc w:val="both"/>
        <w:rPr>
          <w:rFonts w:ascii="Times New Roman" w:hAnsi="Times New Roman"/>
          <w:sz w:val="24"/>
          <w:szCs w:val="24"/>
        </w:rPr>
      </w:pPr>
      <w:r>
        <w:rPr>
          <w:rFonts w:ascii="Times New Roman" w:hAnsi="Times New Roman"/>
          <w:sz w:val="24"/>
          <w:szCs w:val="24"/>
        </w:rPr>
        <w:lastRenderedPageBreak/>
        <w:t>Then the goodness of fit assessment uses Q-square with the calculation:</w:t>
      </w:r>
    </w:p>
    <w:p w14:paraId="17FBAA46" w14:textId="77777777" w:rsidR="00852C70" w:rsidRDefault="000A1714">
      <w:pPr>
        <w:spacing w:before="14" w:after="0" w:line="260" w:lineRule="exact"/>
        <w:jc w:val="both"/>
        <w:rPr>
          <w:rFonts w:ascii="Times New Roman" w:hAnsi="Times New Roman"/>
          <w:sz w:val="24"/>
          <w:szCs w:val="24"/>
        </w:rPr>
      </w:pPr>
      <w:r>
        <w:rPr>
          <w:rFonts w:ascii="Times New Roman" w:hAnsi="Times New Roman"/>
          <w:sz w:val="24"/>
          <w:szCs w:val="24"/>
        </w:rPr>
        <w:t xml:space="preserve">Q square </w:t>
      </w:r>
      <w:r>
        <w:rPr>
          <w:rFonts w:ascii="Times New Roman" w:hAnsi="Times New Roman"/>
          <w:sz w:val="24"/>
          <w:szCs w:val="24"/>
        </w:rPr>
        <w:tab/>
        <w:t>= 1 – [(1-R21) x (1-R22)]</w:t>
      </w:r>
    </w:p>
    <w:p w14:paraId="2CC00C15" w14:textId="77777777" w:rsidR="00852C70" w:rsidRDefault="000A1714">
      <w:pPr>
        <w:tabs>
          <w:tab w:val="left" w:pos="1418"/>
        </w:tabs>
        <w:spacing w:before="14" w:after="0" w:line="260" w:lineRule="exact"/>
        <w:jc w:val="both"/>
        <w:rPr>
          <w:rFonts w:ascii="Times New Roman" w:hAnsi="Times New Roman"/>
          <w:sz w:val="24"/>
          <w:szCs w:val="24"/>
        </w:rPr>
      </w:pPr>
      <w:r>
        <w:rPr>
          <w:rFonts w:ascii="Times New Roman" w:hAnsi="Times New Roman"/>
          <w:sz w:val="24"/>
          <w:szCs w:val="24"/>
        </w:rPr>
        <w:tab/>
        <w:t xml:space="preserve">= 1-[(1-0 </w:t>
      </w:r>
      <w:r>
        <w:rPr>
          <w:rFonts w:ascii="Times New Roman" w:hAnsi="Times New Roman"/>
          <w:color w:val="000000"/>
          <w:sz w:val="24"/>
          <w:szCs w:val="24"/>
        </w:rPr>
        <w:t xml:space="preserve">.865 </w:t>
      </w:r>
      <w:r>
        <w:rPr>
          <w:rFonts w:ascii="Times New Roman" w:hAnsi="Times New Roman"/>
          <w:sz w:val="24"/>
          <w:szCs w:val="24"/>
        </w:rPr>
        <w:t xml:space="preserve">) x (1-0 </w:t>
      </w:r>
      <w:r>
        <w:rPr>
          <w:rFonts w:ascii="Times New Roman" w:hAnsi="Times New Roman"/>
          <w:color w:val="000000"/>
          <w:sz w:val="24"/>
          <w:szCs w:val="24"/>
        </w:rPr>
        <w:t xml:space="preserve">.789 </w:t>
      </w:r>
      <w:r>
        <w:rPr>
          <w:rFonts w:ascii="Times New Roman" w:hAnsi="Times New Roman"/>
          <w:sz w:val="24"/>
          <w:szCs w:val="24"/>
        </w:rPr>
        <w:t>)]</w:t>
      </w:r>
    </w:p>
    <w:p w14:paraId="5E9C5480" w14:textId="77777777" w:rsidR="00852C70" w:rsidRDefault="000A1714">
      <w:pPr>
        <w:tabs>
          <w:tab w:val="left" w:pos="1418"/>
        </w:tabs>
        <w:spacing w:before="14" w:after="0" w:line="260" w:lineRule="exact"/>
        <w:jc w:val="both"/>
        <w:rPr>
          <w:rFonts w:ascii="Times New Roman" w:hAnsi="Times New Roman"/>
          <w:color w:val="000000"/>
          <w:sz w:val="24"/>
          <w:szCs w:val="24"/>
        </w:rPr>
      </w:pPr>
      <w:r>
        <w:rPr>
          <w:rFonts w:ascii="Times New Roman" w:hAnsi="Times New Roman"/>
          <w:sz w:val="24"/>
          <w:szCs w:val="24"/>
        </w:rPr>
        <w:tab/>
        <w:t xml:space="preserve">= 1 – ( </w:t>
      </w:r>
      <w:r>
        <w:rPr>
          <w:rFonts w:ascii="Times New Roman" w:hAnsi="Times New Roman"/>
          <w:color w:val="000000"/>
          <w:sz w:val="24"/>
          <w:szCs w:val="24"/>
        </w:rPr>
        <w:t xml:space="preserve">0.135 </w:t>
      </w:r>
      <w:r>
        <w:rPr>
          <w:rFonts w:ascii="Times New Roman" w:hAnsi="Times New Roman"/>
          <w:sz w:val="24"/>
          <w:szCs w:val="24"/>
        </w:rPr>
        <w:t xml:space="preserve">x </w:t>
      </w:r>
      <w:r>
        <w:rPr>
          <w:rFonts w:ascii="Times New Roman" w:hAnsi="Times New Roman"/>
          <w:color w:val="000000"/>
          <w:sz w:val="24"/>
          <w:szCs w:val="24"/>
        </w:rPr>
        <w:t xml:space="preserve">0.211 </w:t>
      </w:r>
      <w:r>
        <w:rPr>
          <w:rFonts w:ascii="Times New Roman" w:hAnsi="Times New Roman"/>
          <w:sz w:val="24"/>
          <w:szCs w:val="24"/>
        </w:rPr>
        <w:t>)</w:t>
      </w:r>
    </w:p>
    <w:p w14:paraId="2E62884B" w14:textId="77777777" w:rsidR="00852C70" w:rsidRDefault="000A1714">
      <w:pPr>
        <w:tabs>
          <w:tab w:val="left" w:pos="1418"/>
        </w:tabs>
        <w:spacing w:before="14" w:after="0" w:line="260" w:lineRule="exact"/>
        <w:jc w:val="both"/>
        <w:rPr>
          <w:rFonts w:ascii="Times New Roman" w:hAnsi="Times New Roman"/>
          <w:color w:val="000000"/>
          <w:sz w:val="24"/>
          <w:szCs w:val="24"/>
        </w:rPr>
      </w:pPr>
      <w:r>
        <w:rPr>
          <w:rFonts w:ascii="Times New Roman" w:hAnsi="Times New Roman"/>
          <w:sz w:val="24"/>
          <w:szCs w:val="24"/>
        </w:rPr>
        <w:tab/>
        <w:t xml:space="preserve">= 1 – </w:t>
      </w:r>
      <w:r>
        <w:rPr>
          <w:rFonts w:ascii="Times New Roman" w:hAnsi="Times New Roman"/>
          <w:color w:val="000000"/>
          <w:sz w:val="24"/>
          <w:szCs w:val="24"/>
        </w:rPr>
        <w:t>0.028</w:t>
      </w:r>
    </w:p>
    <w:p w14:paraId="15137E44" w14:textId="77777777" w:rsidR="00852C70" w:rsidRDefault="000A1714">
      <w:pPr>
        <w:tabs>
          <w:tab w:val="left" w:pos="1418"/>
        </w:tabs>
        <w:spacing w:before="14" w:line="260" w:lineRule="exact"/>
        <w:jc w:val="both"/>
        <w:rPr>
          <w:rFonts w:ascii="Times New Roman" w:hAnsi="Times New Roman"/>
          <w:sz w:val="24"/>
          <w:szCs w:val="24"/>
        </w:rPr>
      </w:pPr>
      <w:r>
        <w:rPr>
          <w:rFonts w:ascii="Times New Roman" w:hAnsi="Times New Roman"/>
          <w:sz w:val="24"/>
          <w:szCs w:val="24"/>
        </w:rPr>
        <w:tab/>
        <w:t>= 0.972</w:t>
      </w:r>
    </w:p>
    <w:p w14:paraId="27DFA217" w14:textId="77777777" w:rsidR="00852C70" w:rsidRDefault="000A1714">
      <w:pPr>
        <w:spacing w:before="14" w:line="260" w:lineRule="exact"/>
        <w:ind w:firstLine="720"/>
        <w:jc w:val="both"/>
        <w:rPr>
          <w:rFonts w:ascii="Times New Roman" w:hAnsi="Times New Roman"/>
          <w:sz w:val="24"/>
          <w:szCs w:val="24"/>
        </w:rPr>
      </w:pPr>
      <w:r>
        <w:rPr>
          <w:rFonts w:ascii="Times New Roman" w:hAnsi="Times New Roman"/>
          <w:sz w:val="24"/>
          <w:szCs w:val="24"/>
        </w:rPr>
        <w:t>This means that the results of this analysis show that the Q square value is 0.972, meaning that the level of model diversity shown by the independent variable in explaining the dependent variable is 0.972 or 97% and the remaining 0.028 or 2.8% is still influenced by other factors. Thus, from these results, this research model can be stated to have good goodness of fit.</w:t>
      </w:r>
    </w:p>
    <w:p w14:paraId="495A065A" w14:textId="77777777" w:rsidR="00852C70" w:rsidRDefault="000A1714">
      <w:pPr>
        <w:spacing w:before="14" w:after="0" w:line="260" w:lineRule="exact"/>
        <w:ind w:firstLine="720"/>
        <w:jc w:val="center"/>
        <w:rPr>
          <w:rFonts w:ascii="Times New Roman" w:hAnsi="Times New Roman"/>
          <w:sz w:val="24"/>
          <w:szCs w:val="24"/>
        </w:rPr>
      </w:pPr>
      <w:r>
        <w:rPr>
          <w:rFonts w:ascii="Times New Roman" w:hAnsi="Times New Roman"/>
          <w:b/>
          <w:sz w:val="24"/>
          <w:szCs w:val="24"/>
        </w:rPr>
        <w:t xml:space="preserve">Table 4.10. </w:t>
      </w:r>
      <w:r>
        <w:rPr>
          <w:rFonts w:ascii="Times New Roman" w:hAnsi="Times New Roman"/>
          <w:sz w:val="24"/>
          <w:szCs w:val="24"/>
        </w:rPr>
        <w:t>NFI Analysis Results</w:t>
      </w:r>
    </w:p>
    <w:tbl>
      <w:tblPr>
        <w:tblW w:w="4860" w:type="dxa"/>
        <w:jc w:val="center"/>
        <w:tblLook w:val="04A0" w:firstRow="1" w:lastRow="0" w:firstColumn="1" w:lastColumn="0" w:noHBand="0" w:noVBand="1"/>
      </w:tblPr>
      <w:tblGrid>
        <w:gridCol w:w="1160"/>
        <w:gridCol w:w="1840"/>
        <w:gridCol w:w="1860"/>
      </w:tblGrid>
      <w:tr w:rsidR="00852C70" w14:paraId="56860FB2" w14:textId="77777777">
        <w:trPr>
          <w:trHeight w:val="315"/>
          <w:jc w:val="center"/>
        </w:trPr>
        <w:tc>
          <w:tcPr>
            <w:tcW w:w="11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DB274CD" w14:textId="77777777" w:rsidR="00852C70" w:rsidRDefault="000A1714">
            <w:pPr>
              <w:spacing w:before="14" w:after="0" w:line="260" w:lineRule="exact"/>
              <w:rPr>
                <w:rFonts w:ascii="Times New Roman" w:hAnsi="Times New Roman"/>
                <w:b/>
                <w:bCs/>
                <w:i/>
                <w:color w:val="000000"/>
                <w:sz w:val="24"/>
                <w:szCs w:val="24"/>
              </w:rPr>
            </w:pPr>
            <w:r>
              <w:rPr>
                <w:rFonts w:ascii="Times New Roman" w:hAnsi="Times New Roman"/>
                <w:b/>
                <w:bCs/>
                <w:i/>
                <w:color w:val="000000"/>
                <w:sz w:val="24"/>
                <w:szCs w:val="24"/>
              </w:rPr>
              <w:t> </w:t>
            </w:r>
          </w:p>
        </w:tc>
        <w:tc>
          <w:tcPr>
            <w:tcW w:w="1840" w:type="dxa"/>
            <w:tcBorders>
              <w:top w:val="single" w:sz="4" w:space="0" w:color="auto"/>
              <w:left w:val="nil"/>
              <w:bottom w:val="single" w:sz="4" w:space="0" w:color="auto"/>
              <w:right w:val="single" w:sz="4" w:space="0" w:color="auto"/>
            </w:tcBorders>
            <w:shd w:val="clear" w:color="000000" w:fill="BFBFBF"/>
            <w:noWrap/>
            <w:vAlign w:val="center"/>
            <w:hideMark/>
          </w:tcPr>
          <w:p w14:paraId="6237A899" w14:textId="77777777" w:rsidR="00852C70" w:rsidRDefault="000A1714">
            <w:pPr>
              <w:spacing w:before="14" w:after="0" w:line="260" w:lineRule="exact"/>
              <w:rPr>
                <w:rFonts w:ascii="Times New Roman" w:hAnsi="Times New Roman"/>
                <w:b/>
                <w:bCs/>
                <w:i/>
                <w:color w:val="000000"/>
                <w:sz w:val="24"/>
                <w:szCs w:val="24"/>
              </w:rPr>
            </w:pPr>
            <w:r>
              <w:rPr>
                <w:rFonts w:ascii="Times New Roman" w:hAnsi="Times New Roman"/>
                <w:b/>
                <w:bCs/>
                <w:i/>
                <w:color w:val="000000"/>
                <w:sz w:val="24"/>
                <w:szCs w:val="24"/>
              </w:rPr>
              <w:t>Saturated Model</w:t>
            </w:r>
          </w:p>
        </w:tc>
        <w:tc>
          <w:tcPr>
            <w:tcW w:w="1860" w:type="dxa"/>
            <w:tcBorders>
              <w:top w:val="single" w:sz="4" w:space="0" w:color="auto"/>
              <w:left w:val="nil"/>
              <w:bottom w:val="single" w:sz="4" w:space="0" w:color="auto"/>
              <w:right w:val="single" w:sz="4" w:space="0" w:color="auto"/>
            </w:tcBorders>
            <w:shd w:val="clear" w:color="000000" w:fill="BFBFBF"/>
            <w:noWrap/>
            <w:vAlign w:val="center"/>
            <w:hideMark/>
          </w:tcPr>
          <w:p w14:paraId="0C4BE468" w14:textId="77777777" w:rsidR="00852C70" w:rsidRDefault="000A1714">
            <w:pPr>
              <w:spacing w:before="14" w:after="0" w:line="260" w:lineRule="exact"/>
              <w:rPr>
                <w:rFonts w:ascii="Times New Roman" w:hAnsi="Times New Roman"/>
                <w:b/>
                <w:bCs/>
                <w:i/>
                <w:color w:val="000000"/>
                <w:sz w:val="24"/>
                <w:szCs w:val="24"/>
              </w:rPr>
            </w:pPr>
            <w:r>
              <w:rPr>
                <w:rFonts w:ascii="Times New Roman" w:hAnsi="Times New Roman"/>
                <w:b/>
                <w:bCs/>
                <w:i/>
                <w:color w:val="000000"/>
                <w:sz w:val="24"/>
                <w:szCs w:val="24"/>
              </w:rPr>
              <w:t>Estimated Model</w:t>
            </w:r>
          </w:p>
        </w:tc>
      </w:tr>
      <w:tr w:rsidR="00852C70" w14:paraId="031F79DF" w14:textId="77777777">
        <w:trPr>
          <w:trHeight w:val="315"/>
          <w:jc w:val="center"/>
        </w:trPr>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14:paraId="7014F60E" w14:textId="77777777" w:rsidR="00852C70" w:rsidRDefault="000A1714">
            <w:pPr>
              <w:spacing w:before="14" w:after="0" w:line="260" w:lineRule="exact"/>
              <w:rPr>
                <w:rFonts w:ascii="Times New Roman" w:hAnsi="Times New Roman"/>
                <w:color w:val="000000"/>
                <w:sz w:val="24"/>
                <w:szCs w:val="24"/>
              </w:rPr>
            </w:pPr>
            <w:r>
              <w:rPr>
                <w:rFonts w:ascii="Times New Roman" w:hAnsi="Times New Roman"/>
                <w:color w:val="000000"/>
                <w:sz w:val="24"/>
                <w:szCs w:val="24"/>
              </w:rPr>
              <w:t>NFI</w:t>
            </w:r>
          </w:p>
        </w:tc>
        <w:tc>
          <w:tcPr>
            <w:tcW w:w="1840" w:type="dxa"/>
            <w:tcBorders>
              <w:top w:val="nil"/>
              <w:left w:val="nil"/>
              <w:bottom w:val="single" w:sz="4" w:space="0" w:color="auto"/>
              <w:right w:val="single" w:sz="4" w:space="0" w:color="auto"/>
            </w:tcBorders>
            <w:shd w:val="clear" w:color="000000" w:fill="FFFFFF"/>
            <w:noWrap/>
            <w:vAlign w:val="center"/>
            <w:hideMark/>
          </w:tcPr>
          <w:p w14:paraId="6F30617B"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,726</w:t>
            </w:r>
          </w:p>
        </w:tc>
        <w:tc>
          <w:tcPr>
            <w:tcW w:w="1860" w:type="dxa"/>
            <w:tcBorders>
              <w:top w:val="nil"/>
              <w:left w:val="nil"/>
              <w:bottom w:val="single" w:sz="4" w:space="0" w:color="auto"/>
              <w:right w:val="single" w:sz="4" w:space="0" w:color="auto"/>
            </w:tcBorders>
            <w:shd w:val="clear" w:color="000000" w:fill="FFFFFF"/>
            <w:noWrap/>
            <w:vAlign w:val="center"/>
            <w:hideMark/>
          </w:tcPr>
          <w:p w14:paraId="2E18A931" w14:textId="77777777" w:rsidR="00852C70" w:rsidRDefault="000A1714">
            <w:pPr>
              <w:spacing w:before="14" w:after="0" w:line="260" w:lineRule="exact"/>
              <w:jc w:val="right"/>
              <w:rPr>
                <w:rFonts w:ascii="Times New Roman" w:hAnsi="Times New Roman"/>
                <w:color w:val="000000"/>
                <w:sz w:val="24"/>
                <w:szCs w:val="24"/>
              </w:rPr>
            </w:pPr>
            <w:r>
              <w:rPr>
                <w:rFonts w:ascii="Times New Roman" w:hAnsi="Times New Roman"/>
                <w:color w:val="000000"/>
                <w:sz w:val="24"/>
                <w:szCs w:val="24"/>
              </w:rPr>
              <w:t>,726</w:t>
            </w:r>
          </w:p>
        </w:tc>
      </w:tr>
    </w:tbl>
    <w:p w14:paraId="699314E9" w14:textId="77777777" w:rsidR="00852C70" w:rsidRDefault="000A1714">
      <w:pPr>
        <w:tabs>
          <w:tab w:val="left" w:pos="2268"/>
        </w:tabs>
        <w:spacing w:before="14" w:line="260" w:lineRule="exact"/>
        <w:rPr>
          <w:rFonts w:ascii="Times New Roman" w:hAnsi="Times New Roman"/>
          <w:sz w:val="24"/>
          <w:szCs w:val="24"/>
        </w:rPr>
      </w:pPr>
      <w:r>
        <w:rPr>
          <w:rFonts w:ascii="Times New Roman" w:hAnsi="Times New Roman"/>
          <w:sz w:val="24"/>
          <w:szCs w:val="24"/>
        </w:rPr>
        <w:tab/>
        <w:t>Source: Primary Analysis Data, 2021</w:t>
      </w:r>
    </w:p>
    <w:p w14:paraId="4A9611A0" w14:textId="77777777" w:rsidR="00852C70" w:rsidRDefault="000A1714">
      <w:pPr>
        <w:spacing w:before="14" w:line="260" w:lineRule="exact"/>
        <w:jc w:val="both"/>
        <w:rPr>
          <w:rFonts w:ascii="Times New Roman" w:hAnsi="Times New Roman"/>
          <w:sz w:val="24"/>
          <w:szCs w:val="24"/>
        </w:rPr>
      </w:pPr>
      <w:r>
        <w:rPr>
          <w:rFonts w:ascii="Times New Roman" w:hAnsi="Times New Roman"/>
          <w:i/>
          <w:sz w:val="24"/>
          <w:szCs w:val="24"/>
        </w:rPr>
        <w:t xml:space="preserve">the model fit </w:t>
      </w:r>
      <w:r>
        <w:rPr>
          <w:rFonts w:ascii="Times New Roman" w:hAnsi="Times New Roman"/>
          <w:sz w:val="24"/>
          <w:szCs w:val="24"/>
        </w:rPr>
        <w:t>indicators show that if the NFI value is &gt; 0.1 or higher, the model can be said to be much better.</w:t>
      </w:r>
    </w:p>
    <w:p w14:paraId="7A2F15F1"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4.2.3.2. Hypothesis Test Analysis</w:t>
      </w:r>
    </w:p>
    <w:p w14:paraId="7B69B130"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4.2.3.2.1. Direct Effect Testing</w:t>
      </w:r>
    </w:p>
    <w:p w14:paraId="20BF7B58" w14:textId="77777777" w:rsidR="00852C70" w:rsidRDefault="000A1714">
      <w:pPr>
        <w:pStyle w:val="ListParagraph"/>
        <w:spacing w:before="14" w:line="260" w:lineRule="exact"/>
        <w:ind w:left="0" w:firstLine="432"/>
        <w:jc w:val="both"/>
        <w:rPr>
          <w:rFonts w:ascii="Times New Roman" w:hAnsi="Times New Roman"/>
          <w:sz w:val="24"/>
          <w:szCs w:val="24"/>
        </w:rPr>
      </w:pPr>
      <w:r>
        <w:rPr>
          <w:rFonts w:ascii="Times New Roman" w:hAnsi="Times New Roman"/>
          <w:sz w:val="24"/>
          <w:szCs w:val="24"/>
        </w:rPr>
        <w:t xml:space="preserve">Based on this data, analysis is carried out, the results can be used to answer the hypothesis of this research. To see the results of hypothesis testing in this research, you can do it by looking at the results of </w:t>
      </w:r>
      <w:r>
        <w:rPr>
          <w:rFonts w:ascii="Times New Roman" w:hAnsi="Times New Roman"/>
          <w:i/>
          <w:sz w:val="24"/>
          <w:szCs w:val="24"/>
        </w:rPr>
        <w:t xml:space="preserve">the t statistics </w:t>
      </w:r>
      <w:r>
        <w:rPr>
          <w:rFonts w:ascii="Times New Roman" w:hAnsi="Times New Roman"/>
          <w:sz w:val="24"/>
          <w:szCs w:val="24"/>
        </w:rPr>
        <w:t xml:space="preserve">and </w:t>
      </w:r>
      <w:r>
        <w:rPr>
          <w:rFonts w:ascii="Times New Roman" w:hAnsi="Times New Roman"/>
          <w:i/>
          <w:sz w:val="24"/>
          <w:szCs w:val="24"/>
        </w:rPr>
        <w:t xml:space="preserve">P values </w:t>
      </w:r>
      <w:r>
        <w:rPr>
          <w:rFonts w:ascii="Times New Roman" w:hAnsi="Times New Roman"/>
          <w:sz w:val="24"/>
          <w:szCs w:val="24"/>
        </w:rPr>
        <w:t xml:space="preserve">. This hypothesis can be said to be accepted if </w:t>
      </w:r>
      <w:r>
        <w:rPr>
          <w:rFonts w:ascii="Times New Roman" w:hAnsi="Times New Roman"/>
          <w:i/>
          <w:sz w:val="24"/>
          <w:szCs w:val="24"/>
        </w:rPr>
        <w:t xml:space="preserve">the P value is </w:t>
      </w:r>
      <w:r>
        <w:rPr>
          <w:rFonts w:ascii="Times New Roman" w:hAnsi="Times New Roman"/>
          <w:sz w:val="24"/>
          <w:szCs w:val="24"/>
        </w:rPr>
        <w:t xml:space="preserve">&lt;0.05. Meanwhile, to get a significant effect, it can be seen from the </w:t>
      </w:r>
      <w:r>
        <w:rPr>
          <w:rFonts w:ascii="Times New Roman" w:hAnsi="Times New Roman"/>
          <w:i/>
          <w:sz w:val="24"/>
          <w:szCs w:val="24"/>
        </w:rPr>
        <w:t xml:space="preserve">t statistic results </w:t>
      </w:r>
      <w:r>
        <w:rPr>
          <w:rFonts w:ascii="Times New Roman" w:hAnsi="Times New Roman"/>
          <w:sz w:val="24"/>
          <w:szCs w:val="24"/>
        </w:rPr>
        <w:t xml:space="preserve">&gt;1.96. This research also has a direct and indirect influence on each variable because it contains independent variables, dependent variables and intervening variables. The results of processing the direct influence hypothesis can be seen in the path coefficient table in SmartPLS bootstrapping. The test results can be seen through the </w:t>
      </w:r>
      <w:r>
        <w:rPr>
          <w:rFonts w:ascii="Times New Roman" w:hAnsi="Times New Roman"/>
          <w:i/>
          <w:sz w:val="24"/>
          <w:szCs w:val="24"/>
        </w:rPr>
        <w:t xml:space="preserve">bootstrapping test </w:t>
      </w:r>
      <w:r>
        <w:rPr>
          <w:rFonts w:ascii="Times New Roman" w:hAnsi="Times New Roman"/>
          <w:sz w:val="24"/>
          <w:szCs w:val="24"/>
        </w:rPr>
        <w:t>shown in table 4.11.</w:t>
      </w:r>
    </w:p>
    <w:p w14:paraId="6CEBB103" w14:textId="77777777" w:rsidR="00852C70" w:rsidRDefault="00852C70">
      <w:pPr>
        <w:pStyle w:val="ListParagraph"/>
        <w:spacing w:before="14" w:line="260" w:lineRule="exact"/>
        <w:ind w:left="0"/>
        <w:jc w:val="both"/>
        <w:rPr>
          <w:rFonts w:ascii="Times New Roman" w:hAnsi="Times New Roman"/>
          <w:sz w:val="24"/>
          <w:szCs w:val="24"/>
        </w:rPr>
      </w:pPr>
    </w:p>
    <w:p w14:paraId="28F2BC53" w14:textId="77777777" w:rsidR="00852C70" w:rsidRDefault="000A1714">
      <w:pPr>
        <w:spacing w:before="14" w:after="0" w:line="260" w:lineRule="exact"/>
        <w:ind w:firstLine="720"/>
        <w:jc w:val="center"/>
        <w:rPr>
          <w:rFonts w:ascii="Times New Roman" w:hAnsi="Times New Roman"/>
          <w:sz w:val="24"/>
          <w:szCs w:val="24"/>
        </w:rPr>
      </w:pPr>
      <w:r>
        <w:rPr>
          <w:rFonts w:ascii="Times New Roman" w:hAnsi="Times New Roman"/>
          <w:b/>
          <w:sz w:val="24"/>
          <w:szCs w:val="24"/>
        </w:rPr>
        <w:t xml:space="preserve">Table 4.11. </w:t>
      </w:r>
      <w:r>
        <w:rPr>
          <w:rFonts w:ascii="Times New Roman" w:hAnsi="Times New Roman"/>
          <w:sz w:val="24"/>
          <w:szCs w:val="24"/>
        </w:rPr>
        <w:t>Direct Influence</w:t>
      </w:r>
    </w:p>
    <w:tbl>
      <w:tblPr>
        <w:tblW w:w="9350" w:type="dxa"/>
        <w:tblLook w:val="04A0" w:firstRow="1" w:lastRow="0" w:firstColumn="1" w:lastColumn="0" w:noHBand="0" w:noVBand="1"/>
      </w:tblPr>
      <w:tblGrid>
        <w:gridCol w:w="1283"/>
        <w:gridCol w:w="2527"/>
        <w:gridCol w:w="1867"/>
        <w:gridCol w:w="2746"/>
        <w:gridCol w:w="939"/>
      </w:tblGrid>
      <w:tr w:rsidR="00852C70" w14:paraId="66B05980" w14:textId="77777777">
        <w:trPr>
          <w:trHeight w:val="315"/>
        </w:trPr>
        <w:tc>
          <w:tcPr>
            <w:tcW w:w="127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32F75ED" w14:textId="77777777" w:rsidR="00852C70" w:rsidRDefault="000A1714">
            <w:pPr>
              <w:spacing w:before="14" w:after="0" w:line="260" w:lineRule="exact"/>
              <w:rPr>
                <w:rFonts w:ascii="Times New Roman" w:hAnsi="Times New Roman"/>
                <w:bCs/>
                <w:i/>
                <w:sz w:val="24"/>
                <w:szCs w:val="24"/>
              </w:rPr>
            </w:pPr>
            <w:r>
              <w:rPr>
                <w:rFonts w:ascii="Times New Roman" w:hAnsi="Times New Roman"/>
                <w:bCs/>
                <w:i/>
                <w:sz w:val="24"/>
                <w:szCs w:val="24"/>
              </w:rPr>
              <w:t>Hypothesis</w:t>
            </w:r>
          </w:p>
        </w:tc>
        <w:tc>
          <w:tcPr>
            <w:tcW w:w="2527" w:type="dxa"/>
            <w:tcBorders>
              <w:top w:val="single" w:sz="4" w:space="0" w:color="auto"/>
              <w:left w:val="nil"/>
              <w:bottom w:val="single" w:sz="4" w:space="0" w:color="auto"/>
              <w:right w:val="single" w:sz="4" w:space="0" w:color="auto"/>
            </w:tcBorders>
            <w:shd w:val="clear" w:color="000000" w:fill="BFBFBF"/>
            <w:noWrap/>
            <w:vAlign w:val="center"/>
            <w:hideMark/>
          </w:tcPr>
          <w:p w14:paraId="4ECBBA4C" w14:textId="77777777" w:rsidR="00852C70" w:rsidRDefault="000A1714">
            <w:pPr>
              <w:spacing w:before="14" w:after="0" w:line="260" w:lineRule="exact"/>
              <w:rPr>
                <w:rFonts w:ascii="Times New Roman" w:hAnsi="Times New Roman"/>
                <w:bCs/>
                <w:i/>
                <w:sz w:val="24"/>
                <w:szCs w:val="24"/>
              </w:rPr>
            </w:pPr>
            <w:r>
              <w:rPr>
                <w:rFonts w:ascii="Times New Roman" w:hAnsi="Times New Roman"/>
                <w:bCs/>
                <w:i/>
                <w:sz w:val="24"/>
                <w:szCs w:val="24"/>
              </w:rPr>
              <w:t>Influence Between Variables</w:t>
            </w:r>
          </w:p>
        </w:tc>
        <w:tc>
          <w:tcPr>
            <w:tcW w:w="1867" w:type="dxa"/>
            <w:tcBorders>
              <w:top w:val="single" w:sz="4" w:space="0" w:color="auto"/>
              <w:left w:val="nil"/>
              <w:bottom w:val="single" w:sz="4" w:space="0" w:color="auto"/>
              <w:right w:val="single" w:sz="4" w:space="0" w:color="auto"/>
            </w:tcBorders>
            <w:shd w:val="clear" w:color="000000" w:fill="C0C0C0"/>
            <w:noWrap/>
            <w:vAlign w:val="center"/>
            <w:hideMark/>
          </w:tcPr>
          <w:p w14:paraId="78B6CE19" w14:textId="77777777" w:rsidR="00852C70" w:rsidRDefault="000A1714">
            <w:pPr>
              <w:spacing w:before="14" w:after="0" w:line="260" w:lineRule="exact"/>
              <w:rPr>
                <w:rFonts w:ascii="Times New Roman" w:hAnsi="Times New Roman"/>
                <w:bCs/>
                <w:i/>
                <w:sz w:val="24"/>
                <w:szCs w:val="24"/>
              </w:rPr>
            </w:pPr>
            <w:r>
              <w:rPr>
                <w:rFonts w:ascii="Times New Roman" w:hAnsi="Times New Roman"/>
                <w:bCs/>
                <w:i/>
                <w:sz w:val="24"/>
                <w:szCs w:val="24"/>
              </w:rPr>
              <w:t>Original Sample (O)</w:t>
            </w:r>
          </w:p>
        </w:tc>
        <w:tc>
          <w:tcPr>
            <w:tcW w:w="2746" w:type="dxa"/>
            <w:tcBorders>
              <w:top w:val="single" w:sz="4" w:space="0" w:color="auto"/>
              <w:left w:val="nil"/>
              <w:bottom w:val="single" w:sz="4" w:space="0" w:color="auto"/>
              <w:right w:val="single" w:sz="4" w:space="0" w:color="auto"/>
            </w:tcBorders>
            <w:shd w:val="clear" w:color="000000" w:fill="C0C0C0"/>
            <w:noWrap/>
            <w:vAlign w:val="center"/>
            <w:hideMark/>
          </w:tcPr>
          <w:p w14:paraId="180D99C8" w14:textId="77777777" w:rsidR="00852C70" w:rsidRDefault="000A1714">
            <w:pPr>
              <w:spacing w:before="14" w:after="0" w:line="260" w:lineRule="exact"/>
              <w:rPr>
                <w:rFonts w:ascii="Times New Roman" w:hAnsi="Times New Roman"/>
                <w:bCs/>
                <w:i/>
                <w:sz w:val="24"/>
                <w:szCs w:val="24"/>
              </w:rPr>
            </w:pPr>
            <w:r>
              <w:rPr>
                <w:rFonts w:ascii="Times New Roman" w:hAnsi="Times New Roman"/>
                <w:bCs/>
                <w:i/>
                <w:sz w:val="24"/>
                <w:szCs w:val="24"/>
              </w:rPr>
              <w:t>T Statistics (|O/STDEV|)</w:t>
            </w:r>
          </w:p>
        </w:tc>
        <w:tc>
          <w:tcPr>
            <w:tcW w:w="939" w:type="dxa"/>
            <w:tcBorders>
              <w:top w:val="single" w:sz="4" w:space="0" w:color="auto"/>
              <w:left w:val="nil"/>
              <w:bottom w:val="single" w:sz="4" w:space="0" w:color="auto"/>
              <w:right w:val="single" w:sz="4" w:space="0" w:color="auto"/>
            </w:tcBorders>
            <w:shd w:val="clear" w:color="000000" w:fill="C0C0C0"/>
            <w:noWrap/>
            <w:vAlign w:val="center"/>
            <w:hideMark/>
          </w:tcPr>
          <w:p w14:paraId="5CD15B81" w14:textId="77777777" w:rsidR="00852C70" w:rsidRDefault="000A1714">
            <w:pPr>
              <w:spacing w:before="14" w:after="0" w:line="260" w:lineRule="exact"/>
              <w:rPr>
                <w:rFonts w:ascii="Times New Roman" w:hAnsi="Times New Roman"/>
                <w:bCs/>
                <w:i/>
                <w:sz w:val="24"/>
                <w:szCs w:val="24"/>
              </w:rPr>
            </w:pPr>
            <w:r>
              <w:rPr>
                <w:rFonts w:ascii="Times New Roman" w:hAnsi="Times New Roman"/>
                <w:bCs/>
                <w:i/>
                <w:sz w:val="24"/>
                <w:szCs w:val="24"/>
              </w:rPr>
              <w:t>P Values</w:t>
            </w:r>
          </w:p>
        </w:tc>
      </w:tr>
      <w:tr w:rsidR="00852C70" w14:paraId="31083205" w14:textId="77777777">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666416" w14:textId="77777777" w:rsidR="00852C70" w:rsidRDefault="000A1714">
            <w:pPr>
              <w:spacing w:before="14" w:after="0" w:line="260" w:lineRule="exact"/>
              <w:rPr>
                <w:rFonts w:ascii="Times New Roman" w:hAnsi="Times New Roman"/>
                <w:sz w:val="24"/>
                <w:szCs w:val="24"/>
              </w:rPr>
            </w:pPr>
            <w:r>
              <w:rPr>
                <w:rFonts w:ascii="Times New Roman" w:hAnsi="Times New Roman"/>
                <w:sz w:val="24"/>
                <w:szCs w:val="24"/>
              </w:rPr>
              <w:t>H1</w:t>
            </w:r>
          </w:p>
        </w:tc>
        <w:tc>
          <w:tcPr>
            <w:tcW w:w="2527" w:type="dxa"/>
            <w:tcBorders>
              <w:top w:val="nil"/>
              <w:left w:val="nil"/>
              <w:bottom w:val="single" w:sz="4" w:space="0" w:color="auto"/>
              <w:right w:val="single" w:sz="4" w:space="0" w:color="auto"/>
            </w:tcBorders>
            <w:shd w:val="clear" w:color="000000" w:fill="FFFFFF"/>
            <w:noWrap/>
            <w:vAlign w:val="center"/>
            <w:hideMark/>
          </w:tcPr>
          <w:p w14:paraId="711A58A3" w14:textId="77777777" w:rsidR="00852C70" w:rsidRDefault="000A1714">
            <w:pPr>
              <w:spacing w:before="14" w:after="0" w:line="260" w:lineRule="exact"/>
              <w:rPr>
                <w:rFonts w:ascii="Times New Roman" w:hAnsi="Times New Roman"/>
                <w:sz w:val="24"/>
                <w:szCs w:val="24"/>
              </w:rPr>
            </w:pPr>
            <w:r>
              <w:rPr>
                <w:rFonts w:ascii="Times New Roman" w:hAnsi="Times New Roman"/>
                <w:sz w:val="24"/>
                <w:szCs w:val="24"/>
              </w:rPr>
              <w:t>PAML(X) -&gt; KPM (Y)</w:t>
            </w:r>
          </w:p>
        </w:tc>
        <w:tc>
          <w:tcPr>
            <w:tcW w:w="1867" w:type="dxa"/>
            <w:tcBorders>
              <w:top w:val="nil"/>
              <w:left w:val="nil"/>
              <w:bottom w:val="single" w:sz="4" w:space="0" w:color="auto"/>
              <w:right w:val="single" w:sz="4" w:space="0" w:color="auto"/>
            </w:tcBorders>
            <w:shd w:val="clear" w:color="000000" w:fill="FFFFFF"/>
            <w:noWrap/>
            <w:vAlign w:val="center"/>
            <w:hideMark/>
          </w:tcPr>
          <w:p w14:paraId="1AC74B58"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,743</w:t>
            </w:r>
          </w:p>
        </w:tc>
        <w:tc>
          <w:tcPr>
            <w:tcW w:w="2746" w:type="dxa"/>
            <w:tcBorders>
              <w:top w:val="nil"/>
              <w:left w:val="nil"/>
              <w:bottom w:val="single" w:sz="4" w:space="0" w:color="auto"/>
              <w:right w:val="single" w:sz="4" w:space="0" w:color="auto"/>
            </w:tcBorders>
            <w:shd w:val="clear" w:color="000000" w:fill="FFFFFF"/>
            <w:noWrap/>
            <w:vAlign w:val="center"/>
            <w:hideMark/>
          </w:tcPr>
          <w:p w14:paraId="6AA2389F"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8,595</w:t>
            </w:r>
          </w:p>
        </w:tc>
        <w:tc>
          <w:tcPr>
            <w:tcW w:w="939" w:type="dxa"/>
            <w:tcBorders>
              <w:top w:val="nil"/>
              <w:left w:val="nil"/>
              <w:bottom w:val="single" w:sz="4" w:space="0" w:color="auto"/>
              <w:right w:val="single" w:sz="4" w:space="0" w:color="auto"/>
            </w:tcBorders>
            <w:shd w:val="clear" w:color="000000" w:fill="FFFFFF"/>
            <w:noWrap/>
            <w:vAlign w:val="center"/>
            <w:hideMark/>
          </w:tcPr>
          <w:p w14:paraId="6C631ACE"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,000</w:t>
            </w:r>
          </w:p>
        </w:tc>
      </w:tr>
      <w:tr w:rsidR="00852C70" w14:paraId="06849530" w14:textId="77777777">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73B3EC" w14:textId="77777777" w:rsidR="00852C70" w:rsidRDefault="000A1714">
            <w:pPr>
              <w:spacing w:before="14" w:after="0" w:line="260" w:lineRule="exact"/>
              <w:rPr>
                <w:rFonts w:ascii="Times New Roman" w:hAnsi="Times New Roman"/>
                <w:sz w:val="24"/>
                <w:szCs w:val="24"/>
              </w:rPr>
            </w:pPr>
            <w:r>
              <w:rPr>
                <w:rFonts w:ascii="Times New Roman" w:hAnsi="Times New Roman"/>
                <w:sz w:val="24"/>
                <w:szCs w:val="24"/>
              </w:rPr>
              <w:t>H2</w:t>
            </w:r>
          </w:p>
        </w:tc>
        <w:tc>
          <w:tcPr>
            <w:tcW w:w="2527" w:type="dxa"/>
            <w:tcBorders>
              <w:top w:val="nil"/>
              <w:left w:val="nil"/>
              <w:bottom w:val="single" w:sz="4" w:space="0" w:color="auto"/>
              <w:right w:val="single" w:sz="4" w:space="0" w:color="auto"/>
            </w:tcBorders>
            <w:shd w:val="clear" w:color="000000" w:fill="FFFFFF"/>
            <w:noWrap/>
            <w:vAlign w:val="center"/>
            <w:hideMark/>
          </w:tcPr>
          <w:p w14:paraId="4BCA30DC" w14:textId="77777777" w:rsidR="00852C70" w:rsidRDefault="000A1714">
            <w:pPr>
              <w:spacing w:before="14" w:after="0" w:line="260" w:lineRule="exact"/>
              <w:rPr>
                <w:rFonts w:ascii="Times New Roman" w:hAnsi="Times New Roman"/>
                <w:sz w:val="24"/>
                <w:szCs w:val="24"/>
              </w:rPr>
            </w:pPr>
            <w:r>
              <w:rPr>
                <w:rFonts w:ascii="Times New Roman" w:hAnsi="Times New Roman"/>
                <w:sz w:val="24"/>
                <w:szCs w:val="24"/>
              </w:rPr>
              <w:t>PAML(X) -&gt; SI(Z)</w:t>
            </w:r>
          </w:p>
        </w:tc>
        <w:tc>
          <w:tcPr>
            <w:tcW w:w="1867" w:type="dxa"/>
            <w:tcBorders>
              <w:top w:val="nil"/>
              <w:left w:val="nil"/>
              <w:bottom w:val="single" w:sz="4" w:space="0" w:color="auto"/>
              <w:right w:val="single" w:sz="4" w:space="0" w:color="auto"/>
            </w:tcBorders>
            <w:shd w:val="clear" w:color="000000" w:fill="FFFFFF"/>
            <w:noWrap/>
            <w:vAlign w:val="center"/>
            <w:hideMark/>
          </w:tcPr>
          <w:p w14:paraId="26C156BE"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,888</w:t>
            </w:r>
          </w:p>
        </w:tc>
        <w:tc>
          <w:tcPr>
            <w:tcW w:w="2746" w:type="dxa"/>
            <w:tcBorders>
              <w:top w:val="nil"/>
              <w:left w:val="nil"/>
              <w:bottom w:val="single" w:sz="4" w:space="0" w:color="auto"/>
              <w:right w:val="single" w:sz="4" w:space="0" w:color="auto"/>
            </w:tcBorders>
            <w:shd w:val="clear" w:color="000000" w:fill="FFFFFF"/>
            <w:noWrap/>
            <w:vAlign w:val="center"/>
            <w:hideMark/>
          </w:tcPr>
          <w:p w14:paraId="6229834C"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17,804</w:t>
            </w:r>
          </w:p>
        </w:tc>
        <w:tc>
          <w:tcPr>
            <w:tcW w:w="939" w:type="dxa"/>
            <w:tcBorders>
              <w:top w:val="nil"/>
              <w:left w:val="nil"/>
              <w:bottom w:val="single" w:sz="4" w:space="0" w:color="auto"/>
              <w:right w:val="single" w:sz="4" w:space="0" w:color="auto"/>
            </w:tcBorders>
            <w:shd w:val="clear" w:color="000000" w:fill="FFFFFF"/>
            <w:noWrap/>
            <w:vAlign w:val="center"/>
            <w:hideMark/>
          </w:tcPr>
          <w:p w14:paraId="6D9EF75D"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,000</w:t>
            </w:r>
          </w:p>
        </w:tc>
      </w:tr>
      <w:tr w:rsidR="00852C70" w14:paraId="228FDE02" w14:textId="77777777">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75C0338" w14:textId="77777777" w:rsidR="00852C70" w:rsidRDefault="000A1714">
            <w:pPr>
              <w:spacing w:before="14" w:after="0" w:line="260" w:lineRule="exact"/>
              <w:rPr>
                <w:rFonts w:ascii="Times New Roman" w:hAnsi="Times New Roman"/>
                <w:sz w:val="24"/>
                <w:szCs w:val="24"/>
              </w:rPr>
            </w:pPr>
            <w:r>
              <w:rPr>
                <w:rFonts w:ascii="Times New Roman" w:hAnsi="Times New Roman"/>
                <w:sz w:val="24"/>
                <w:szCs w:val="24"/>
              </w:rPr>
              <w:t>H3</w:t>
            </w:r>
          </w:p>
        </w:tc>
        <w:tc>
          <w:tcPr>
            <w:tcW w:w="2527" w:type="dxa"/>
            <w:tcBorders>
              <w:top w:val="nil"/>
              <w:left w:val="nil"/>
              <w:bottom w:val="single" w:sz="4" w:space="0" w:color="auto"/>
              <w:right w:val="single" w:sz="4" w:space="0" w:color="auto"/>
            </w:tcBorders>
            <w:shd w:val="clear" w:color="000000" w:fill="FFFFFF"/>
            <w:noWrap/>
            <w:vAlign w:val="center"/>
            <w:hideMark/>
          </w:tcPr>
          <w:p w14:paraId="0FF43857" w14:textId="77777777" w:rsidR="00852C70" w:rsidRDefault="000A1714">
            <w:pPr>
              <w:spacing w:before="14" w:after="0" w:line="260" w:lineRule="exact"/>
              <w:rPr>
                <w:rFonts w:ascii="Times New Roman" w:hAnsi="Times New Roman"/>
                <w:sz w:val="24"/>
                <w:szCs w:val="24"/>
              </w:rPr>
            </w:pPr>
            <w:r>
              <w:rPr>
                <w:rFonts w:ascii="Times New Roman" w:hAnsi="Times New Roman"/>
                <w:sz w:val="24"/>
                <w:szCs w:val="24"/>
              </w:rPr>
              <w:t>SI (Z) -&gt; KPM (Y)</w:t>
            </w:r>
          </w:p>
        </w:tc>
        <w:tc>
          <w:tcPr>
            <w:tcW w:w="1867" w:type="dxa"/>
            <w:tcBorders>
              <w:top w:val="nil"/>
              <w:left w:val="nil"/>
              <w:bottom w:val="single" w:sz="4" w:space="0" w:color="auto"/>
              <w:right w:val="single" w:sz="4" w:space="0" w:color="auto"/>
            </w:tcBorders>
            <w:shd w:val="clear" w:color="000000" w:fill="FFFFFF"/>
            <w:noWrap/>
            <w:vAlign w:val="center"/>
            <w:hideMark/>
          </w:tcPr>
          <w:p w14:paraId="27220F8A"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,206</w:t>
            </w:r>
          </w:p>
        </w:tc>
        <w:tc>
          <w:tcPr>
            <w:tcW w:w="2746" w:type="dxa"/>
            <w:tcBorders>
              <w:top w:val="nil"/>
              <w:left w:val="nil"/>
              <w:bottom w:val="single" w:sz="4" w:space="0" w:color="auto"/>
              <w:right w:val="single" w:sz="4" w:space="0" w:color="auto"/>
            </w:tcBorders>
            <w:shd w:val="clear" w:color="000000" w:fill="FFFFFF"/>
            <w:noWrap/>
            <w:vAlign w:val="center"/>
            <w:hideMark/>
          </w:tcPr>
          <w:p w14:paraId="60BAE1DF"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2,434</w:t>
            </w:r>
          </w:p>
        </w:tc>
        <w:tc>
          <w:tcPr>
            <w:tcW w:w="939" w:type="dxa"/>
            <w:tcBorders>
              <w:top w:val="nil"/>
              <w:left w:val="nil"/>
              <w:bottom w:val="single" w:sz="4" w:space="0" w:color="auto"/>
              <w:right w:val="single" w:sz="4" w:space="0" w:color="auto"/>
            </w:tcBorders>
            <w:shd w:val="clear" w:color="000000" w:fill="FFFFFF"/>
            <w:noWrap/>
            <w:vAlign w:val="center"/>
            <w:hideMark/>
          </w:tcPr>
          <w:p w14:paraId="7C77FF73"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,015</w:t>
            </w:r>
          </w:p>
        </w:tc>
      </w:tr>
    </w:tbl>
    <w:p w14:paraId="0444B6B1"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Source: Primary Analysis Data, 2021</w:t>
      </w:r>
    </w:p>
    <w:p w14:paraId="5B214E1C"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 xml:space="preserve">It can be seen from the P values produced by the </w:t>
      </w:r>
      <w:r>
        <w:rPr>
          <w:rFonts w:ascii="Times New Roman" w:hAnsi="Times New Roman"/>
          <w:i/>
          <w:sz w:val="24"/>
          <w:szCs w:val="24"/>
        </w:rPr>
        <w:t xml:space="preserve">bootstrapping test </w:t>
      </w:r>
      <w:r>
        <w:rPr>
          <w:rFonts w:ascii="Times New Roman" w:hAnsi="Times New Roman"/>
          <w:sz w:val="24"/>
          <w:szCs w:val="24"/>
        </w:rPr>
        <w:t xml:space="preserve">, </w:t>
      </w:r>
      <w:r>
        <w:rPr>
          <w:rFonts w:ascii="Times New Roman" w:hAnsi="Times New Roman"/>
          <w:i/>
          <w:sz w:val="24"/>
          <w:szCs w:val="24"/>
        </w:rPr>
        <w:t xml:space="preserve">the path coefficient results </w:t>
      </w:r>
      <w:r>
        <w:rPr>
          <w:rFonts w:ascii="Times New Roman" w:hAnsi="Times New Roman"/>
          <w:sz w:val="24"/>
          <w:szCs w:val="24"/>
        </w:rPr>
        <w:t xml:space="preserve">show that h1, namely that there is a positive and direct influence of Environmental Management Accounting Practices (X) on Manufacturing Company Performance (Y) is considered significant because it has a </w:t>
      </w:r>
      <w:r>
        <w:rPr>
          <w:rFonts w:ascii="Times New Roman" w:hAnsi="Times New Roman"/>
          <w:i/>
          <w:sz w:val="24"/>
          <w:szCs w:val="24"/>
        </w:rPr>
        <w:t xml:space="preserve">t statistic </w:t>
      </w:r>
      <w:r>
        <w:rPr>
          <w:rFonts w:ascii="Times New Roman" w:hAnsi="Times New Roman"/>
          <w:sz w:val="24"/>
          <w:szCs w:val="24"/>
        </w:rPr>
        <w:t xml:space="preserve">value of &gt;1.96, amounting to 8.595 and accepted because it has </w:t>
      </w:r>
      <w:r>
        <w:rPr>
          <w:rFonts w:ascii="Times New Roman" w:hAnsi="Times New Roman"/>
          <w:i/>
          <w:sz w:val="24"/>
          <w:szCs w:val="24"/>
        </w:rPr>
        <w:t xml:space="preserve">a P value </w:t>
      </w:r>
      <w:r>
        <w:rPr>
          <w:rFonts w:ascii="Times New Roman" w:hAnsi="Times New Roman"/>
          <w:sz w:val="24"/>
          <w:szCs w:val="24"/>
        </w:rPr>
        <w:t xml:space="preserve">&lt;0.05 of 0. Likewise, h2, where there is a positive and direct relationship between environmental management accounting practices (X) and information systems (Z), is considered significant with a </w:t>
      </w:r>
      <w:r>
        <w:rPr>
          <w:rFonts w:ascii="Times New Roman" w:hAnsi="Times New Roman"/>
          <w:i/>
          <w:sz w:val="24"/>
          <w:szCs w:val="24"/>
        </w:rPr>
        <w:t xml:space="preserve">t statistic value </w:t>
      </w:r>
      <w:r>
        <w:rPr>
          <w:rFonts w:ascii="Times New Roman" w:hAnsi="Times New Roman"/>
          <w:sz w:val="24"/>
          <w:szCs w:val="24"/>
        </w:rPr>
        <w:t xml:space="preserve">of &gt;1.96 of 17.804 and is accepted because it has </w:t>
      </w:r>
      <w:r>
        <w:rPr>
          <w:rFonts w:ascii="Times New Roman" w:hAnsi="Times New Roman"/>
          <w:i/>
          <w:sz w:val="24"/>
          <w:szCs w:val="24"/>
        </w:rPr>
        <w:t xml:space="preserve">a P value </w:t>
      </w:r>
      <w:r>
        <w:rPr>
          <w:rFonts w:ascii="Times New Roman" w:hAnsi="Times New Roman"/>
          <w:sz w:val="24"/>
          <w:szCs w:val="24"/>
        </w:rPr>
        <w:t xml:space="preserve">of &lt;0.05 of 0. The same as The two previous hypotheses, h3 also state that there is a </w:t>
      </w:r>
      <w:r>
        <w:rPr>
          <w:rFonts w:ascii="Times New Roman" w:hAnsi="Times New Roman"/>
          <w:sz w:val="24"/>
          <w:szCs w:val="24"/>
        </w:rPr>
        <w:lastRenderedPageBreak/>
        <w:t xml:space="preserve">direct and significant positive relationship between the information system (Z) and the performance of manufacturing companies (Y) because it has a </w:t>
      </w:r>
      <w:r>
        <w:rPr>
          <w:rFonts w:ascii="Times New Roman" w:hAnsi="Times New Roman"/>
          <w:i/>
          <w:sz w:val="24"/>
          <w:szCs w:val="24"/>
        </w:rPr>
        <w:t xml:space="preserve">t statistic value </w:t>
      </w:r>
      <w:r>
        <w:rPr>
          <w:rFonts w:ascii="Times New Roman" w:hAnsi="Times New Roman"/>
          <w:sz w:val="24"/>
          <w:szCs w:val="24"/>
        </w:rPr>
        <w:t>&gt;1.96 of 2.434 and a P value &lt;0.05, namely 0.015.</w:t>
      </w:r>
    </w:p>
    <w:p w14:paraId="27BE6FA6"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4.2.3.2.2. Indirect Effect Testing</w:t>
      </w:r>
    </w:p>
    <w:p w14:paraId="4FCE0739"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This analysis is more about explaining the results of significant influences indirectly or using mediation. The analysis results obtained are displayed in table 4.12.</w:t>
      </w:r>
    </w:p>
    <w:p w14:paraId="2DF80055" w14:textId="77777777" w:rsidR="00852C70" w:rsidRDefault="000A1714">
      <w:pPr>
        <w:spacing w:before="14" w:after="0" w:line="260" w:lineRule="exact"/>
        <w:jc w:val="center"/>
        <w:rPr>
          <w:rFonts w:ascii="Times New Roman" w:hAnsi="Times New Roman"/>
          <w:sz w:val="24"/>
          <w:szCs w:val="24"/>
        </w:rPr>
      </w:pPr>
      <w:r>
        <w:rPr>
          <w:rFonts w:ascii="Times New Roman" w:hAnsi="Times New Roman"/>
          <w:b/>
          <w:sz w:val="24"/>
          <w:szCs w:val="24"/>
        </w:rPr>
        <w:t xml:space="preserve">Table 4.12. </w:t>
      </w:r>
      <w:r>
        <w:rPr>
          <w:rFonts w:ascii="Times New Roman" w:hAnsi="Times New Roman"/>
          <w:sz w:val="24"/>
          <w:szCs w:val="24"/>
        </w:rPr>
        <w:t>Indirect Influence</w:t>
      </w:r>
    </w:p>
    <w:tbl>
      <w:tblPr>
        <w:tblW w:w="9351" w:type="dxa"/>
        <w:tblLook w:val="04A0" w:firstRow="1" w:lastRow="0" w:firstColumn="1" w:lastColumn="0" w:noHBand="0" w:noVBand="1"/>
      </w:tblPr>
      <w:tblGrid>
        <w:gridCol w:w="1283"/>
        <w:gridCol w:w="3794"/>
        <w:gridCol w:w="1417"/>
        <w:gridCol w:w="1985"/>
        <w:gridCol w:w="992"/>
      </w:tblGrid>
      <w:tr w:rsidR="00852C70" w14:paraId="518F4F84" w14:textId="77777777">
        <w:trPr>
          <w:trHeight w:val="315"/>
        </w:trPr>
        <w:tc>
          <w:tcPr>
            <w:tcW w:w="116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E318291" w14:textId="77777777" w:rsidR="00852C70" w:rsidRDefault="000A1714">
            <w:pPr>
              <w:spacing w:before="14" w:after="0" w:line="260" w:lineRule="exact"/>
              <w:rPr>
                <w:rFonts w:ascii="Times New Roman" w:hAnsi="Times New Roman"/>
                <w:bCs/>
                <w:i/>
                <w:sz w:val="24"/>
                <w:szCs w:val="24"/>
              </w:rPr>
            </w:pPr>
            <w:r>
              <w:rPr>
                <w:rFonts w:ascii="Times New Roman" w:hAnsi="Times New Roman"/>
                <w:bCs/>
                <w:i/>
                <w:sz w:val="24"/>
                <w:szCs w:val="24"/>
              </w:rPr>
              <w:t>Hypothesis</w:t>
            </w:r>
          </w:p>
        </w:tc>
        <w:tc>
          <w:tcPr>
            <w:tcW w:w="3794" w:type="dxa"/>
            <w:tcBorders>
              <w:top w:val="single" w:sz="4" w:space="0" w:color="auto"/>
              <w:left w:val="nil"/>
              <w:bottom w:val="single" w:sz="4" w:space="0" w:color="auto"/>
              <w:right w:val="single" w:sz="4" w:space="0" w:color="auto"/>
            </w:tcBorders>
            <w:shd w:val="clear" w:color="000000" w:fill="BFBFBF"/>
            <w:noWrap/>
            <w:vAlign w:val="center"/>
            <w:hideMark/>
          </w:tcPr>
          <w:p w14:paraId="6C6AA54D" w14:textId="77777777" w:rsidR="00852C70" w:rsidRDefault="000A1714">
            <w:pPr>
              <w:spacing w:before="14" w:after="0" w:line="260" w:lineRule="exact"/>
              <w:rPr>
                <w:rFonts w:ascii="Times New Roman" w:hAnsi="Times New Roman"/>
                <w:bCs/>
                <w:i/>
                <w:sz w:val="24"/>
                <w:szCs w:val="24"/>
              </w:rPr>
            </w:pPr>
            <w:r>
              <w:rPr>
                <w:rFonts w:ascii="Times New Roman" w:hAnsi="Times New Roman"/>
                <w:bCs/>
                <w:i/>
                <w:sz w:val="24"/>
                <w:szCs w:val="24"/>
              </w:rPr>
              <w:t>Influence Between Variables</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525476C1" w14:textId="77777777" w:rsidR="00852C70" w:rsidRDefault="000A1714">
            <w:pPr>
              <w:spacing w:before="14" w:after="0" w:line="260" w:lineRule="exact"/>
              <w:rPr>
                <w:rFonts w:ascii="Times New Roman" w:hAnsi="Times New Roman"/>
                <w:bCs/>
                <w:i/>
                <w:color w:val="000000"/>
                <w:sz w:val="24"/>
                <w:szCs w:val="24"/>
              </w:rPr>
            </w:pPr>
            <w:r>
              <w:rPr>
                <w:rFonts w:ascii="Times New Roman" w:hAnsi="Times New Roman"/>
                <w:bCs/>
                <w:i/>
                <w:color w:val="000000"/>
                <w:sz w:val="24"/>
                <w:szCs w:val="24"/>
              </w:rPr>
              <w:t>Original Sample (O)</w:t>
            </w:r>
          </w:p>
        </w:tc>
        <w:tc>
          <w:tcPr>
            <w:tcW w:w="1985" w:type="dxa"/>
            <w:tcBorders>
              <w:top w:val="single" w:sz="4" w:space="0" w:color="auto"/>
              <w:left w:val="nil"/>
              <w:bottom w:val="single" w:sz="4" w:space="0" w:color="auto"/>
              <w:right w:val="single" w:sz="4" w:space="0" w:color="auto"/>
            </w:tcBorders>
            <w:shd w:val="clear" w:color="000000" w:fill="C0C0C0"/>
            <w:noWrap/>
            <w:vAlign w:val="center"/>
            <w:hideMark/>
          </w:tcPr>
          <w:p w14:paraId="0D5CA6A7" w14:textId="77777777" w:rsidR="00852C70" w:rsidRDefault="000A1714">
            <w:pPr>
              <w:spacing w:before="14" w:after="0" w:line="260" w:lineRule="exact"/>
              <w:rPr>
                <w:rFonts w:ascii="Times New Roman" w:hAnsi="Times New Roman"/>
                <w:bCs/>
                <w:i/>
                <w:color w:val="000000"/>
                <w:sz w:val="24"/>
                <w:szCs w:val="24"/>
              </w:rPr>
            </w:pPr>
            <w:r>
              <w:rPr>
                <w:rFonts w:ascii="Times New Roman" w:hAnsi="Times New Roman"/>
                <w:bCs/>
                <w:i/>
                <w:color w:val="000000"/>
                <w:sz w:val="24"/>
                <w:szCs w:val="24"/>
              </w:rPr>
              <w:t>T Statistics (|O/STDEV|)</w:t>
            </w:r>
          </w:p>
        </w:tc>
        <w:tc>
          <w:tcPr>
            <w:tcW w:w="992" w:type="dxa"/>
            <w:tcBorders>
              <w:top w:val="single" w:sz="4" w:space="0" w:color="auto"/>
              <w:left w:val="nil"/>
              <w:bottom w:val="single" w:sz="4" w:space="0" w:color="auto"/>
              <w:right w:val="single" w:sz="4" w:space="0" w:color="auto"/>
            </w:tcBorders>
            <w:shd w:val="clear" w:color="000000" w:fill="C0C0C0"/>
            <w:noWrap/>
            <w:vAlign w:val="center"/>
            <w:hideMark/>
          </w:tcPr>
          <w:p w14:paraId="367214A8" w14:textId="77777777" w:rsidR="00852C70" w:rsidRDefault="000A1714">
            <w:pPr>
              <w:spacing w:before="14" w:after="0" w:line="260" w:lineRule="exact"/>
              <w:rPr>
                <w:rFonts w:ascii="Times New Roman" w:hAnsi="Times New Roman"/>
                <w:bCs/>
                <w:i/>
                <w:color w:val="000000"/>
                <w:sz w:val="24"/>
                <w:szCs w:val="24"/>
              </w:rPr>
            </w:pPr>
            <w:r>
              <w:rPr>
                <w:rFonts w:ascii="Times New Roman" w:hAnsi="Times New Roman"/>
                <w:bCs/>
                <w:i/>
                <w:color w:val="000000"/>
                <w:sz w:val="24"/>
                <w:szCs w:val="24"/>
              </w:rPr>
              <w:t>P Values</w:t>
            </w:r>
          </w:p>
        </w:tc>
      </w:tr>
      <w:tr w:rsidR="00852C70" w14:paraId="36F90E09" w14:textId="77777777">
        <w:trPr>
          <w:trHeight w:val="315"/>
        </w:trPr>
        <w:tc>
          <w:tcPr>
            <w:tcW w:w="1163" w:type="dxa"/>
            <w:tcBorders>
              <w:top w:val="nil"/>
              <w:left w:val="single" w:sz="4" w:space="0" w:color="auto"/>
              <w:bottom w:val="nil"/>
              <w:right w:val="single" w:sz="4" w:space="0" w:color="auto"/>
            </w:tcBorders>
            <w:shd w:val="clear" w:color="000000" w:fill="FFFFFF"/>
            <w:noWrap/>
            <w:vAlign w:val="bottom"/>
            <w:hideMark/>
          </w:tcPr>
          <w:p w14:paraId="01EA56AB" w14:textId="77777777" w:rsidR="00852C70" w:rsidRDefault="000A1714">
            <w:pPr>
              <w:spacing w:before="14" w:after="0" w:line="260" w:lineRule="exact"/>
              <w:rPr>
                <w:rFonts w:ascii="Times New Roman" w:hAnsi="Times New Roman"/>
                <w:sz w:val="24"/>
                <w:szCs w:val="24"/>
              </w:rPr>
            </w:pPr>
            <w:r>
              <w:rPr>
                <w:rFonts w:ascii="Times New Roman" w:hAnsi="Times New Roman"/>
                <w:sz w:val="24"/>
                <w:szCs w:val="24"/>
              </w:rPr>
              <w:t>H4</w:t>
            </w:r>
          </w:p>
        </w:tc>
        <w:tc>
          <w:tcPr>
            <w:tcW w:w="3794" w:type="dxa"/>
            <w:tcBorders>
              <w:top w:val="nil"/>
              <w:left w:val="nil"/>
              <w:bottom w:val="nil"/>
              <w:right w:val="single" w:sz="4" w:space="0" w:color="auto"/>
            </w:tcBorders>
            <w:shd w:val="clear" w:color="000000" w:fill="FFFFFF"/>
            <w:noWrap/>
            <w:vAlign w:val="center"/>
            <w:hideMark/>
          </w:tcPr>
          <w:p w14:paraId="160B9E30" w14:textId="77777777" w:rsidR="00852C70" w:rsidRDefault="000A1714">
            <w:pPr>
              <w:spacing w:before="14" w:after="0" w:line="260" w:lineRule="exact"/>
              <w:rPr>
                <w:rFonts w:ascii="Times New Roman" w:hAnsi="Times New Roman"/>
                <w:b/>
                <w:bCs/>
                <w:sz w:val="24"/>
                <w:szCs w:val="24"/>
              </w:rPr>
            </w:pPr>
            <w:r>
              <w:rPr>
                <w:rFonts w:ascii="Times New Roman" w:hAnsi="Times New Roman"/>
                <w:b/>
                <w:bCs/>
                <w:sz w:val="24"/>
                <w:szCs w:val="24"/>
              </w:rPr>
              <w:t>PAML (X) -&gt; SI (Z) -&gt; KPM (Y)</w:t>
            </w:r>
          </w:p>
        </w:tc>
        <w:tc>
          <w:tcPr>
            <w:tcW w:w="1417" w:type="dxa"/>
            <w:tcBorders>
              <w:top w:val="nil"/>
              <w:left w:val="nil"/>
              <w:bottom w:val="nil"/>
              <w:right w:val="single" w:sz="4" w:space="0" w:color="auto"/>
            </w:tcBorders>
            <w:shd w:val="clear" w:color="000000" w:fill="FFFFFF"/>
            <w:noWrap/>
            <w:vAlign w:val="center"/>
            <w:hideMark/>
          </w:tcPr>
          <w:p w14:paraId="56C05687"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,183</w:t>
            </w:r>
          </w:p>
        </w:tc>
        <w:tc>
          <w:tcPr>
            <w:tcW w:w="1985" w:type="dxa"/>
            <w:tcBorders>
              <w:top w:val="nil"/>
              <w:left w:val="nil"/>
              <w:bottom w:val="nil"/>
              <w:right w:val="single" w:sz="4" w:space="0" w:color="auto"/>
            </w:tcBorders>
            <w:shd w:val="clear" w:color="000000" w:fill="FFFFFF"/>
            <w:noWrap/>
            <w:vAlign w:val="center"/>
            <w:hideMark/>
          </w:tcPr>
          <w:p w14:paraId="2BC467A4"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2,460</w:t>
            </w:r>
          </w:p>
        </w:tc>
        <w:tc>
          <w:tcPr>
            <w:tcW w:w="992" w:type="dxa"/>
            <w:tcBorders>
              <w:top w:val="nil"/>
              <w:left w:val="nil"/>
              <w:bottom w:val="nil"/>
              <w:right w:val="single" w:sz="4" w:space="0" w:color="auto"/>
            </w:tcBorders>
            <w:shd w:val="clear" w:color="000000" w:fill="FFFFFF"/>
            <w:noWrap/>
            <w:vAlign w:val="center"/>
            <w:hideMark/>
          </w:tcPr>
          <w:p w14:paraId="28C8B5F4" w14:textId="77777777" w:rsidR="00852C70" w:rsidRDefault="000A1714">
            <w:pPr>
              <w:spacing w:before="14" w:after="0" w:line="260" w:lineRule="exact"/>
              <w:jc w:val="right"/>
              <w:rPr>
                <w:rFonts w:ascii="Times New Roman" w:hAnsi="Times New Roman"/>
                <w:sz w:val="24"/>
                <w:szCs w:val="24"/>
              </w:rPr>
            </w:pPr>
            <w:r>
              <w:rPr>
                <w:rFonts w:ascii="Times New Roman" w:hAnsi="Times New Roman"/>
                <w:sz w:val="24"/>
                <w:szCs w:val="24"/>
              </w:rPr>
              <w:t>,014</w:t>
            </w:r>
          </w:p>
        </w:tc>
      </w:tr>
      <w:tr w:rsidR="00852C70" w14:paraId="28FAB2DB" w14:textId="77777777">
        <w:trPr>
          <w:trHeight w:val="315"/>
        </w:trPr>
        <w:tc>
          <w:tcPr>
            <w:tcW w:w="1163" w:type="dxa"/>
            <w:tcBorders>
              <w:top w:val="nil"/>
              <w:left w:val="single" w:sz="4" w:space="0" w:color="auto"/>
              <w:bottom w:val="single" w:sz="4" w:space="0" w:color="auto"/>
              <w:right w:val="single" w:sz="4" w:space="0" w:color="auto"/>
            </w:tcBorders>
            <w:shd w:val="clear" w:color="000000" w:fill="FFFFFF"/>
            <w:noWrap/>
            <w:vAlign w:val="bottom"/>
          </w:tcPr>
          <w:p w14:paraId="0B9C322F" w14:textId="77777777" w:rsidR="00852C70" w:rsidRDefault="00852C70">
            <w:pPr>
              <w:spacing w:before="14" w:after="0" w:line="260" w:lineRule="exact"/>
              <w:rPr>
                <w:rFonts w:ascii="Times New Roman" w:hAnsi="Times New Roman"/>
                <w:sz w:val="24"/>
                <w:szCs w:val="24"/>
              </w:rPr>
            </w:pPr>
          </w:p>
        </w:tc>
        <w:tc>
          <w:tcPr>
            <w:tcW w:w="3794" w:type="dxa"/>
            <w:tcBorders>
              <w:top w:val="nil"/>
              <w:left w:val="nil"/>
              <w:bottom w:val="single" w:sz="4" w:space="0" w:color="auto"/>
              <w:right w:val="single" w:sz="4" w:space="0" w:color="auto"/>
            </w:tcBorders>
            <w:shd w:val="clear" w:color="000000" w:fill="FFFFFF"/>
            <w:noWrap/>
            <w:vAlign w:val="center"/>
          </w:tcPr>
          <w:p w14:paraId="023DF06C" w14:textId="77777777" w:rsidR="00852C70" w:rsidRDefault="00852C70">
            <w:pPr>
              <w:spacing w:before="14" w:after="0" w:line="260" w:lineRule="exact"/>
              <w:rPr>
                <w:rFonts w:ascii="Times New Roman" w:hAnsi="Times New Roman"/>
                <w:b/>
                <w:bCs/>
                <w:sz w:val="24"/>
                <w:szCs w:val="24"/>
              </w:rPr>
            </w:pPr>
          </w:p>
        </w:tc>
        <w:tc>
          <w:tcPr>
            <w:tcW w:w="1417" w:type="dxa"/>
            <w:tcBorders>
              <w:top w:val="nil"/>
              <w:left w:val="nil"/>
              <w:bottom w:val="single" w:sz="4" w:space="0" w:color="auto"/>
              <w:right w:val="single" w:sz="4" w:space="0" w:color="auto"/>
            </w:tcBorders>
            <w:shd w:val="clear" w:color="000000" w:fill="FFFFFF"/>
            <w:noWrap/>
            <w:vAlign w:val="center"/>
          </w:tcPr>
          <w:p w14:paraId="1D3D0D51" w14:textId="77777777" w:rsidR="00852C70" w:rsidRDefault="00852C70">
            <w:pPr>
              <w:spacing w:before="14" w:after="0" w:line="260" w:lineRule="exact"/>
              <w:jc w:val="right"/>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000000" w:fill="FFFFFF"/>
            <w:noWrap/>
            <w:vAlign w:val="center"/>
          </w:tcPr>
          <w:p w14:paraId="4A34AB1A" w14:textId="77777777" w:rsidR="00852C70" w:rsidRDefault="00852C70">
            <w:pPr>
              <w:spacing w:before="14" w:after="0" w:line="260" w:lineRule="exact"/>
              <w:jc w:val="right"/>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000000" w:fill="FFFFFF"/>
            <w:noWrap/>
            <w:vAlign w:val="center"/>
          </w:tcPr>
          <w:p w14:paraId="6194EAA5" w14:textId="77777777" w:rsidR="00852C70" w:rsidRDefault="00852C70">
            <w:pPr>
              <w:spacing w:before="14" w:after="0" w:line="260" w:lineRule="exact"/>
              <w:jc w:val="right"/>
              <w:rPr>
                <w:rFonts w:ascii="Times New Roman" w:hAnsi="Times New Roman"/>
                <w:sz w:val="24"/>
                <w:szCs w:val="24"/>
              </w:rPr>
            </w:pPr>
          </w:p>
        </w:tc>
      </w:tr>
    </w:tbl>
    <w:p w14:paraId="34AC3927"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Source: Primary Analysis Data, 2021</w:t>
      </w:r>
    </w:p>
    <w:p w14:paraId="4E194C7B"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 xml:space="preserve">Based on data that has been processed through indirect tests or </w:t>
      </w:r>
      <w:r>
        <w:rPr>
          <w:rFonts w:ascii="Times New Roman" w:hAnsi="Times New Roman"/>
          <w:i/>
          <w:sz w:val="24"/>
          <w:szCs w:val="24"/>
        </w:rPr>
        <w:t xml:space="preserve">specific indirect effects </w:t>
      </w:r>
      <w:r>
        <w:rPr>
          <w:rFonts w:ascii="Times New Roman" w:hAnsi="Times New Roman"/>
          <w:sz w:val="24"/>
          <w:szCs w:val="24"/>
        </w:rPr>
        <w:t xml:space="preserve">, it can be said that h4 which states that there is a significant positive and indirect relationship between environmental management accounting practices (X), information systems (Z), and manufacturing company performance (Y) is accepted. because it has a </w:t>
      </w:r>
      <w:r>
        <w:rPr>
          <w:rFonts w:ascii="Times New Roman" w:hAnsi="Times New Roman"/>
          <w:i/>
          <w:sz w:val="24"/>
          <w:szCs w:val="24"/>
        </w:rPr>
        <w:t xml:space="preserve">t statistic value </w:t>
      </w:r>
      <w:r>
        <w:rPr>
          <w:rFonts w:ascii="Times New Roman" w:hAnsi="Times New Roman"/>
          <w:sz w:val="24"/>
          <w:szCs w:val="24"/>
        </w:rPr>
        <w:t xml:space="preserve">&gt; 1.96 of 2.460 and </w:t>
      </w:r>
      <w:r>
        <w:rPr>
          <w:rFonts w:ascii="Times New Roman" w:hAnsi="Times New Roman"/>
          <w:i/>
          <w:sz w:val="24"/>
          <w:szCs w:val="24"/>
        </w:rPr>
        <w:t xml:space="preserve">a p value </w:t>
      </w:r>
      <w:r>
        <w:rPr>
          <w:rFonts w:ascii="Times New Roman" w:hAnsi="Times New Roman"/>
          <w:sz w:val="24"/>
          <w:szCs w:val="24"/>
        </w:rPr>
        <w:t>of &lt;0.05 of 0.014.</w:t>
      </w:r>
    </w:p>
    <w:p w14:paraId="3B97F72E"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4.3. Discussion</w:t>
      </w:r>
    </w:p>
    <w:p w14:paraId="4FF27A26"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4.3.1. The Influence of Environmental Management Accounting Practices and Manufacturing Company Performance</w:t>
      </w:r>
    </w:p>
    <w:p w14:paraId="2444E6DD" w14:textId="77777777" w:rsidR="00852C70" w:rsidRDefault="000A1714" w:rsidP="005C4F21">
      <w:pPr>
        <w:spacing w:before="14" w:after="0" w:line="260" w:lineRule="exact"/>
        <w:ind w:firstLine="426"/>
        <w:jc w:val="both"/>
        <w:rPr>
          <w:rFonts w:ascii="Times New Roman" w:hAnsi="Times New Roman"/>
          <w:sz w:val="24"/>
          <w:szCs w:val="24"/>
        </w:rPr>
      </w:pPr>
      <w:r>
        <w:rPr>
          <w:rFonts w:ascii="Times New Roman" w:hAnsi="Times New Roman"/>
          <w:sz w:val="24"/>
          <w:szCs w:val="24"/>
        </w:rPr>
        <w:t xml:space="preserve">The results of the first hypothesis in the tests that had been carried out previously were accepted. These results are in line with research by Aniela, (2012); Mohd Fuzi et al., (2019); Sari et al., (2020); and Zulhaimi, (2015) who stated that environmental management accounting practices have a positive and significant effect on the performance of manufacturing companies. The results of this research mean that improving environmental management accounting practices can also improve the performance of manufacturing companies. This statement supports institutional theory where companies have a tendency to seek legitimacy from external parties to maintain the company </w:t>
      </w:r>
      <w:r>
        <w:rPr>
          <w:rFonts w:ascii="Times New Roman" w:hAnsi="Times New Roman"/>
          <w:color w:val="222222"/>
          <w:sz w:val="24"/>
          <w:szCs w:val="24"/>
          <w:shd w:val="clear" w:color="auto" w:fill="FAFAFA"/>
        </w:rPr>
        <w:t>(Meyer and Rowan, 1977).</w:t>
      </w:r>
      <w:r>
        <w:rPr>
          <w:rFonts w:ascii="Times New Roman" w:hAnsi="Times New Roman"/>
          <w:sz w:val="24"/>
          <w:szCs w:val="24"/>
          <w:lang w:val="id-ID"/>
        </w:rPr>
        <w:t xml:space="preserve">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{"citationItems":[{"id":"ITEM-1","itemData":{"DOI":"10.5465/amp.2009.43479261","ISSN":"15589080","abstract":"Today, it is undeniable that a new enthusiasm exists for green management, not only among managers but among business school students, though this enthusiasm is just starting to be tapped in a more formal way in curriculum, instructional materials, and faculty careers and advancement. Green management matters for many reasons, but fundamentally it matters because people expect managers to use resources wisely and responsibly; protect the environment; minimize the amounts of air, water, energy, minerals, and other materials found in the final goods people consume; recycle and reuse these goods to the extent possible rather than drawing on nature to replenish them; respect nature's calm, tranquility, and beauty, and eliminate toxins that harm people in the workplace and communities. From a moral or normative perspective the obligation for green management is absolute, and whether it \"pays\" to be green is only partly relevant. Copyright by the Academy of Management; all rights reserved.","author":[{"dropping-particle":"","family":"Marcus","given":"Alfred A.","non-dropping-particle":"","parse-names":false,"suffix":""},{"dropping-particle":"","family":"Fremeth","given":"Adam R.","non-dropping-particle":"","parse-names":false,"suffix":""}],"container-title":"Academy of Management Perspectives","id":"ITEM-1","issued":{"date-parts":[["2009"]]},"title":"Green management matters regardless","type":"article-journal"},"uris":["http://www.mendeley.com/documents/?uuid=757a5de1-7e47-4789-b836-62ecbdf23d05"]}],"mendeley":{"formattedCitation":"(Marcus &amp; Fremeth, 2009)","manualFormatting":"Marcus &amp; Fremeth, (2009)","plainTextFormattedCitation":"(Marcus &amp; Fremeth, 2009)","previouslyFormattedCitation":"(Marcus &amp; Fremeth, 2009)"},"properties":{"noteIndex":0},"schema":"https://github.com/citation-style-language/schema/raw/master/csl-citation.json"}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 xml:space="preserve">Marcus &amp; Fremeth, (2009) </w:t>
      </w:r>
      <w:r>
        <w:rPr>
          <w:rFonts w:ascii="Times New Roman" w:hAnsi="Times New Roman"/>
          <w:sz w:val="24"/>
          <w:szCs w:val="24"/>
          <w:lang w:val="id-ID"/>
        </w:rPr>
        <w:fldChar w:fldCharType="end"/>
      </w:r>
      <w:r>
        <w:rPr>
          <w:rFonts w:ascii="Times New Roman" w:hAnsi="Times New Roman"/>
          <w:sz w:val="24"/>
          <w:szCs w:val="24"/>
          <w:lang w:val="id-ID"/>
        </w:rPr>
        <w:t xml:space="preserve">stated that companies that openly implement environmental management accounting build a good reputation so that they can reduce the potential for the company to lose sales which results in a decline in </w:t>
      </w:r>
      <w:r>
        <w:rPr>
          <w:rFonts w:ascii="Times New Roman" w:hAnsi="Times New Roman"/>
          <w:sz w:val="24"/>
          <w:szCs w:val="24"/>
        </w:rPr>
        <w:t xml:space="preserve">the company's financial performance </w:t>
      </w:r>
      <w:r>
        <w:rPr>
          <w:rFonts w:ascii="Times New Roman" w:hAnsi="Times New Roman"/>
          <w:sz w:val="24"/>
          <w:szCs w:val="24"/>
          <w:lang w:val="id-ID"/>
        </w:rPr>
        <w:t xml:space="preserve">. </w:t>
      </w:r>
      <w:r>
        <w:rPr>
          <w:rFonts w:ascii="Times New Roman" w:hAnsi="Times New Roman"/>
          <w:sz w:val="24"/>
          <w:szCs w:val="24"/>
        </w:rPr>
        <w:t xml:space="preserve">This is also in accordance with the statement by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{"citationItems":[{"id":"ITEM-1","itemData":{"author":[{"dropping-particle":"","family":"Ningsih Wiwik Fitria","given":"","non-dropping-particle":"","parse-names":false,"suffix":""},{"dropping-particle":"","family":"Rachmawati Ratih","given":"","non-dropping-particle":"","parse-names":false,"suffix":""}],"id":"ITEM-1","issue":"2","issued":{"date-parts":[["2017"]]},"page":"149-158","title":"Implementasi green accounting dalam meningkatkan kinerja perusahaan | ningsih | JABE (Journal of Applied Business and Economic)","type":"article-journal","volume":"4"},"uris":["http://www.mendeley.com/documents/?uuid=ad858d3f-88f0-421e-b681-0d0e1466e628"]}],"mendeley":{"formattedCitation":"(Ningsih Wiwik Fitria &amp; Rachmawati Ratih, 2017)","manualFormatting":"Ningsih Wiwik Fitria &amp; Rachmawati Ratih, (2017)","plainTextFormattedCitation":"(Ningsih Wiwik Fitria &amp; Rachmawati Ratih, 2017)","previouslyFormattedCitation":"(Ningsih Wiwik Fitria &amp; Rachmawati Ratih,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Ningsih Wiwik Fitria &amp; Rachmawati Ratih, (2017) </w:t>
      </w:r>
      <w:r>
        <w:rPr>
          <w:rFonts w:ascii="Times New Roman" w:hAnsi="Times New Roman"/>
          <w:sz w:val="24"/>
          <w:szCs w:val="24"/>
        </w:rPr>
        <w:fldChar w:fldCharType="end"/>
      </w:r>
      <w:r>
        <w:rPr>
          <w:rFonts w:ascii="Times New Roman" w:hAnsi="Times New Roman"/>
          <w:sz w:val="24"/>
          <w:szCs w:val="24"/>
        </w:rPr>
        <w:t>that environmental management accounting practices can be useful in measuring the effectiveness of resource use which can have an effect on improving financial performance.</w:t>
      </w:r>
    </w:p>
    <w:p w14:paraId="025964B6" w14:textId="77777777" w:rsidR="005C4F21" w:rsidRPr="005C4F21" w:rsidRDefault="005C4F21" w:rsidP="005C4F21">
      <w:pPr>
        <w:spacing w:before="14" w:after="0" w:line="260" w:lineRule="exact"/>
        <w:ind w:firstLine="426"/>
        <w:jc w:val="both"/>
        <w:rPr>
          <w:rFonts w:ascii="Times New Roman" w:hAnsi="Times New Roman"/>
          <w:sz w:val="24"/>
          <w:szCs w:val="24"/>
        </w:rPr>
      </w:pPr>
    </w:p>
    <w:p w14:paraId="3A7944FA" w14:textId="77777777" w:rsidR="00852C70" w:rsidRDefault="000A1714">
      <w:pPr>
        <w:pStyle w:val="ListParagraph"/>
        <w:spacing w:before="14" w:line="260" w:lineRule="exact"/>
        <w:ind w:left="0"/>
        <w:jc w:val="both"/>
        <w:rPr>
          <w:rFonts w:ascii="Times New Roman" w:hAnsi="Times New Roman"/>
          <w:b/>
          <w:color w:val="000000"/>
          <w:sz w:val="24"/>
          <w:szCs w:val="24"/>
        </w:rPr>
      </w:pPr>
      <w:r>
        <w:rPr>
          <w:rFonts w:ascii="Times New Roman" w:hAnsi="Times New Roman"/>
          <w:b/>
          <w:color w:val="000000"/>
          <w:sz w:val="24"/>
          <w:szCs w:val="24"/>
        </w:rPr>
        <w:t>4.3.2. The Influence of Environmental Management Accounting Practices with Information Systems</w:t>
      </w:r>
    </w:p>
    <w:p w14:paraId="595800C4" w14:textId="77777777" w:rsidR="00852C70" w:rsidRDefault="000A1714">
      <w:pPr>
        <w:pStyle w:val="ListParagraph"/>
        <w:spacing w:before="14" w:line="260" w:lineRule="exact"/>
        <w:ind w:left="0" w:firstLine="294"/>
        <w:jc w:val="both"/>
        <w:rPr>
          <w:rFonts w:ascii="Times New Roman" w:hAnsi="Times New Roman"/>
          <w:color w:val="000000"/>
          <w:sz w:val="24"/>
          <w:szCs w:val="24"/>
        </w:rPr>
      </w:pPr>
      <w:r>
        <w:rPr>
          <w:rFonts w:ascii="Times New Roman" w:hAnsi="Times New Roman"/>
          <w:color w:val="000000"/>
          <w:sz w:val="24"/>
          <w:szCs w:val="24"/>
        </w:rPr>
        <w:t xml:space="preserve">The results of the second hypothesis in the tests that had been carried out previously were accepted. The results of this research are in line with research conducted by Mohd Fuzi et al., (2019) which produced a positive and significant influence between environmental management accounting practice variables and information systems. The results of this research mean that improving environmental management accounting practices can also improve Information Systems. This supports the statement of </w:t>
      </w:r>
      <w:r>
        <w:rPr>
          <w:rFonts w:ascii="Times New Roman" w:hAnsi="Times New Roman"/>
          <w:color w:val="000000"/>
          <w:sz w:val="24"/>
          <w:szCs w:val="24"/>
        </w:rPr>
        <w:fldChar w:fldCharType="begin"/>
      </w:r>
      <w:r>
        <w:rPr>
          <w:rFonts w:ascii="Times New Roman" w:hAnsi="Times New Roman"/>
          <w:color w:val="000000"/>
          <w:sz w:val="24"/>
          <w:szCs w:val="24"/>
        </w:rPr>
        <w:instrText>ADDIN CSL_CITATION {"citationItems":[{"id":"ITEM-1","itemData":{"DOI":"10.1108/MBE-12-2018-0109","ISSN":"13683047","abstract":"Purpose: The purpose of this paper is to examine the mediating effect of information system (IS) on the relationship between environmental management accounting practices (EMAP) and organizational performance (OPM) for Malaysian manufacturing industry. Design/methodology/approach: This study is based on survey data collected from 395 manufacturing companies in Malaysia. Validity and reliability analyses were performed using IBM SPSS and structural equation modeling was used to test the research hypotheses. Findings: The results indicated that EMAP positively and significantly to IS and OPM. This study also found that IS partially mediates the relationship between EMAP and OPM. This study also found that IS partially mediates the relationship between EMAP and OPM. Research limitations/implications: This study has a number of limitations that need to be addressed in future research. First, the population and sample of survey respondents are only targeted in the Malaysian manufacturing industry. Second, this research only uses the survey technique and is conducted in the Malaysian manufacturing industry. Third, the limitation of this study would concern the difficulty to find EMAP and IS relationship literatures in the Malaysian manufacturing industry. However, the researchers consider that there is greater scope for investigation on the EMAP, IS and OPM relationships for Malaysian manufacturing industry. Originality/value: This study contributes to the existing body of knowledge by examining the mediating effect of IS on the relationship between EMAP and OPM for Malaysian manufacturing industry. Thus, it is expected that the results of this study have given valuable insight of the relationship between EMAP, IS on OPM for Malaysian manufacturing industry.","author":[{"dropping-particle":"","family":"Mohd Fuzi","given":"Nursyazwani","non-dropping-particle":"","parse-names":false,"suffix":""},{"dropping-particle":"","family":"Habidin","given":"Nurul Fadly","non-dropping-particle":"","parse-names":false,"suffix":""},{"dropping-particle":"","family":"Janudin","given":"Sharul Effendy","non-dropping-particle":"","parse-names":false,"suffix":""},{"dropping-particle":"","family":"Ong","given":"Sharon Yong Yee","non-dropping-particle":"","parse-names":false,"suffix":""},{"dropping-particle":"","family":"Ku Bahador","given":"Ku Maisurah","non-dropping-particle":"","parse-names":false,"suffix":""}],"container-title":"Measuring Business Excellence","id":"ITEM-1","issue":"4","issued":{"date-parts":[["2019"]]},"page":"411-425","title":"Environmental management accounting practices and organizational performance: the mediating effect of information system","type":"article-journal","volume":"23"},"uris":["http://www.mendeley.com/documents/?uuid=8a2517f4-e9a9-46a1-aa3c-cfbd7297de86"]}],"mendeley":{"formattedCitation":"(Mohd Fuzi et al., 2019)","manualFormatting":"Mohd Fuzi et al., (2019)","plainTextFormattedCitation":"(Mohd Fuzi et al., 2019)"},"properties":{"noteIndex":0},"schema":"https://github.com/citation-style-language/schema/raw/master/csl-citation.json"}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 xml:space="preserve">Mohd Fuzi et al., (2019) </w:t>
      </w:r>
      <w:r>
        <w:rPr>
          <w:rFonts w:ascii="Times New Roman" w:hAnsi="Times New Roman"/>
          <w:color w:val="000000"/>
          <w:sz w:val="24"/>
          <w:szCs w:val="24"/>
        </w:rPr>
        <w:fldChar w:fldCharType="end"/>
      </w:r>
      <w:r>
        <w:rPr>
          <w:rFonts w:ascii="Times New Roman" w:hAnsi="Times New Roman"/>
          <w:color w:val="000000"/>
          <w:sz w:val="24"/>
          <w:szCs w:val="24"/>
        </w:rPr>
        <w:t>where the implementation of environmental management accounting requires processing information related to the environment. Information systems play a role in processing this information.</w:t>
      </w:r>
    </w:p>
    <w:p w14:paraId="202236CC" w14:textId="77777777" w:rsidR="00852C70" w:rsidRDefault="00852C70">
      <w:pPr>
        <w:pStyle w:val="ListParagraph"/>
        <w:spacing w:before="14" w:line="260" w:lineRule="exact"/>
        <w:ind w:left="0" w:firstLine="294"/>
        <w:jc w:val="both"/>
        <w:rPr>
          <w:rFonts w:ascii="Times New Roman" w:hAnsi="Times New Roman"/>
          <w:color w:val="000000"/>
          <w:sz w:val="24"/>
          <w:szCs w:val="24"/>
        </w:rPr>
      </w:pPr>
    </w:p>
    <w:p w14:paraId="5B9CF08C" w14:textId="77777777" w:rsidR="00852C70" w:rsidRDefault="000A1714">
      <w:pPr>
        <w:pStyle w:val="ListParagraph"/>
        <w:spacing w:before="14" w:line="260" w:lineRule="exact"/>
        <w:ind w:left="0"/>
        <w:jc w:val="both"/>
        <w:rPr>
          <w:rFonts w:ascii="Times New Roman" w:hAnsi="Times New Roman"/>
          <w:b/>
          <w:color w:val="000000"/>
          <w:sz w:val="24"/>
          <w:szCs w:val="24"/>
        </w:rPr>
      </w:pPr>
      <w:r>
        <w:rPr>
          <w:rFonts w:ascii="Times New Roman" w:hAnsi="Times New Roman"/>
          <w:b/>
          <w:color w:val="000000"/>
          <w:sz w:val="24"/>
          <w:szCs w:val="24"/>
        </w:rPr>
        <w:t>4.3.3. The Influence of Information Systems and Manufacturing Company Performance</w:t>
      </w:r>
    </w:p>
    <w:p w14:paraId="2EC50CCB" w14:textId="77777777" w:rsidR="00852C70" w:rsidRDefault="000A1714">
      <w:pPr>
        <w:pStyle w:val="ListParagraph"/>
        <w:spacing w:before="14" w:line="260" w:lineRule="exact"/>
        <w:ind w:left="0" w:firstLine="294"/>
        <w:jc w:val="both"/>
        <w:rPr>
          <w:rFonts w:ascii="Times New Roman" w:hAnsi="Times New Roman"/>
          <w:color w:val="000000"/>
          <w:sz w:val="24"/>
          <w:szCs w:val="24"/>
        </w:rPr>
      </w:pPr>
      <w:r>
        <w:rPr>
          <w:rFonts w:ascii="Times New Roman" w:hAnsi="Times New Roman"/>
          <w:color w:val="000000"/>
          <w:sz w:val="24"/>
          <w:szCs w:val="24"/>
        </w:rPr>
        <w:lastRenderedPageBreak/>
        <w:t xml:space="preserve">The results of the third hypothesis regarding the relationship between the two variables after going through data processing are accepted. The results of this research are in line with research conducted by Guzmán et al., (2018) and Hailu, (2014) which produced a positive and significant influence between these two variables. The results of this research mean that improving Information Systems can also improve Manufacturing Company Performance. As stated in </w:t>
      </w: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ADDIN CSL_CITATION {"citationItems":[{"id":"ITEM-1","itemData":{"author":[{"dropping-particle":"","family":"Hailu","given":"Tesfaye","non-dropping-particle":"","parse-names":false,"suffix":""}],"id":"ITEM-1","issue":"37","issued":{"date-parts":[["2014"]]},"page":"331-339","title":"The Impact of Information System ( IS ) on Organziational Performace : With Special Refernce to Ethio-Telecom Southern Region , Hawassa","type":"article-journal","volume":"6"},"uris":["http://www.mendeley.com/documents/?uuid=ddf257b4-12b2-4145-a4a3-4eba562660ca"]}],"mendeley":{"formattedCitation":"(Hailu, 2014)","manualFormatting":" Hailu, (2014)","plainTextFormattedCitation":"(Hailu, 2014)","previouslyFormattedCitation":"(Hailu, 2014)"},"properties":{"noteIndex":0},"schema":"https://github.com/citation-style-language/schema/raw/master/csl-citation.json"}</w:instrText>
      </w:r>
      <w:r>
        <w:rPr>
          <w:rFonts w:ascii="Times New Roman" w:hAnsi="Times New Roman"/>
          <w:color w:val="000000"/>
          <w:sz w:val="24"/>
          <w:szCs w:val="24"/>
          <w:lang w:val="id-ID"/>
        </w:rPr>
        <w:fldChar w:fldCharType="separate"/>
      </w:r>
      <w:r>
        <w:rPr>
          <w:rFonts w:ascii="Times New Roman" w:hAnsi="Times New Roman"/>
          <w:noProof/>
          <w:color w:val="000000"/>
          <w:sz w:val="24"/>
          <w:szCs w:val="24"/>
          <w:lang w:val="id-ID"/>
        </w:rPr>
        <w:t xml:space="preserve">Hailu's research (2014) </w:t>
      </w:r>
      <w:r>
        <w:rPr>
          <w:rFonts w:ascii="Times New Roman" w:hAnsi="Times New Roman"/>
          <w:color w:val="000000"/>
          <w:sz w:val="24"/>
          <w:szCs w:val="24"/>
          <w:lang w:val="id-ID"/>
        </w:rPr>
        <w:fldChar w:fldCharType="end"/>
      </w:r>
      <w:r>
        <w:rPr>
          <w:rFonts w:ascii="Times New Roman" w:hAnsi="Times New Roman"/>
          <w:color w:val="000000"/>
          <w:sz w:val="24"/>
          <w:szCs w:val="24"/>
        </w:rPr>
        <w:t>, companies will have difficulty surviving without an information system. The output from the information system can be utilized to improve the performance of manufacturing companies.</w:t>
      </w:r>
    </w:p>
    <w:p w14:paraId="58888ABB" w14:textId="77777777" w:rsidR="00852C70" w:rsidRDefault="00852C70">
      <w:pPr>
        <w:pStyle w:val="ListParagraph"/>
        <w:spacing w:before="14" w:line="260" w:lineRule="exact"/>
        <w:ind w:left="0" w:firstLine="294"/>
        <w:jc w:val="both"/>
        <w:rPr>
          <w:rFonts w:ascii="Times New Roman" w:hAnsi="Times New Roman"/>
          <w:color w:val="000000"/>
          <w:sz w:val="24"/>
          <w:szCs w:val="24"/>
        </w:rPr>
      </w:pPr>
    </w:p>
    <w:p w14:paraId="093F109D" w14:textId="77777777" w:rsidR="00852C70" w:rsidRDefault="000A1714">
      <w:pPr>
        <w:pStyle w:val="ListParagraph"/>
        <w:spacing w:before="14" w:line="260" w:lineRule="exact"/>
        <w:ind w:left="0" w:firstLine="294"/>
        <w:jc w:val="both"/>
        <w:rPr>
          <w:rFonts w:ascii="Times New Roman" w:hAnsi="Times New Roman"/>
          <w:b/>
          <w:color w:val="000000"/>
          <w:sz w:val="24"/>
          <w:szCs w:val="24"/>
        </w:rPr>
      </w:pPr>
      <w:r>
        <w:rPr>
          <w:rFonts w:ascii="Times New Roman" w:hAnsi="Times New Roman"/>
          <w:b/>
          <w:color w:val="000000"/>
          <w:sz w:val="24"/>
          <w:szCs w:val="24"/>
        </w:rPr>
        <w:t>4.3.4. The Influence of Environmental Management Accounting Practices, Information Systems, and Manufacturing Company Performance</w:t>
      </w:r>
    </w:p>
    <w:p w14:paraId="536D00FF" w14:textId="77777777" w:rsidR="00852C70" w:rsidRDefault="000A1714">
      <w:pPr>
        <w:pStyle w:val="ListParagraph"/>
        <w:spacing w:before="14" w:line="260" w:lineRule="exact"/>
        <w:ind w:left="0" w:firstLine="294"/>
        <w:jc w:val="both"/>
        <w:rPr>
          <w:rFonts w:ascii="Times New Roman" w:hAnsi="Times New Roman"/>
          <w:color w:val="000000"/>
          <w:sz w:val="24"/>
          <w:szCs w:val="24"/>
        </w:rPr>
      </w:pPr>
      <w:r>
        <w:rPr>
          <w:rFonts w:ascii="Times New Roman" w:hAnsi="Times New Roman"/>
          <w:color w:val="000000"/>
          <w:sz w:val="24"/>
          <w:szCs w:val="24"/>
        </w:rPr>
        <w:t xml:space="preserve">In the data processing results shown by the indirect effect testing table ( </w:t>
      </w:r>
      <w:r>
        <w:rPr>
          <w:rFonts w:ascii="Times New Roman" w:hAnsi="Times New Roman"/>
          <w:i/>
          <w:color w:val="000000"/>
          <w:sz w:val="24"/>
          <w:szCs w:val="24"/>
        </w:rPr>
        <w:t xml:space="preserve">indirect effect </w:t>
      </w:r>
      <w:r>
        <w:rPr>
          <w:rFonts w:ascii="Times New Roman" w:hAnsi="Times New Roman"/>
          <w:color w:val="000000"/>
          <w:sz w:val="24"/>
          <w:szCs w:val="24"/>
        </w:rPr>
        <w:t>)</w:t>
      </w:r>
      <w:r>
        <w:rPr>
          <w:rFonts w:ascii="Times New Roman" w:hAnsi="Times New Roman"/>
          <w:i/>
          <w:color w:val="000000"/>
          <w:sz w:val="24"/>
          <w:szCs w:val="24"/>
        </w:rPr>
        <w:t xml:space="preserve"> </w:t>
      </w:r>
      <w:r>
        <w:rPr>
          <w:rFonts w:ascii="Times New Roman" w:hAnsi="Times New Roman"/>
          <w:color w:val="000000"/>
          <w:sz w:val="24"/>
          <w:szCs w:val="24"/>
        </w:rPr>
        <w:t>shows that there is a positive and significant relationship between environmental management accounting practices, information systems, and manufacturing company performance. The results of this research mean that improving environmental management accounting practices can also improve information systems which then have an impact on increasing the performance of manufacturing companies. The results of this research are in line with research conducted by Mohd Fuzi et al., (2019) that information systems are proven to mediate the relationship between environmental management accounting practices and the performance of manufacturing companies.</w:t>
      </w:r>
    </w:p>
    <w:p w14:paraId="17CC05B0"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5. Conclusion</w:t>
      </w:r>
    </w:p>
    <w:p w14:paraId="0902FC9E"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5.1. Conclusion</w:t>
      </w:r>
    </w:p>
    <w:p w14:paraId="52A1FE68"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Based on research regarding the relationship between environmental management accounting practices and the performance of manufacturing companies with information systems as an intervening variable, conclusions can be drawn namely; (i) Environmental Management Accounting Practices are proven to have a positive and significant effect on Manufacturing Company Performance, (ii) Environmental Management Accounting Practices are proven to have a positive and significant effect on Information Systems, (iii) Information Systems are proven to have a positive and significant effect on Manufacturing Company Performance, (iv) ) Proven mediation results, namely that the information system mediates positively and significantly between Environmental Management Accounting Practices on Manufacturing Company Performance.</w:t>
      </w:r>
    </w:p>
    <w:p w14:paraId="2BA9C0C9"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5.2. Limitations</w:t>
      </w:r>
    </w:p>
    <w:p w14:paraId="2A55B32A" w14:textId="77777777" w:rsidR="00852C70" w:rsidRDefault="000A1714">
      <w:pPr>
        <w:spacing w:before="14" w:after="0" w:line="260" w:lineRule="exact"/>
        <w:jc w:val="both"/>
        <w:rPr>
          <w:rFonts w:ascii="Times New Roman" w:hAnsi="Times New Roman"/>
          <w:sz w:val="24"/>
          <w:szCs w:val="24"/>
        </w:rPr>
      </w:pPr>
      <w:r>
        <w:rPr>
          <w:rFonts w:ascii="Times New Roman" w:hAnsi="Times New Roman"/>
          <w:sz w:val="24"/>
          <w:szCs w:val="24"/>
        </w:rPr>
        <w:t xml:space="preserve">This research has many limitations, including filling out the questionnaire online </w:t>
      </w:r>
      <w:r>
        <w:rPr>
          <w:rFonts w:ascii="Times New Roman" w:hAnsi="Times New Roman"/>
          <w:i/>
          <w:sz w:val="24"/>
          <w:szCs w:val="24"/>
        </w:rPr>
        <w:t xml:space="preserve">so </w:t>
      </w:r>
      <w:r>
        <w:rPr>
          <w:rFonts w:ascii="Times New Roman" w:hAnsi="Times New Roman"/>
          <w:sz w:val="24"/>
          <w:szCs w:val="24"/>
        </w:rPr>
        <w:t>there is no direct supervision from the researcher. Apart from that, the sample selection was deemed inadequate and the population was only limited to the city of Semarang.</w:t>
      </w:r>
    </w:p>
    <w:p w14:paraId="34C72B6C" w14:textId="77777777" w:rsidR="00852C70" w:rsidRDefault="00852C70">
      <w:pPr>
        <w:spacing w:before="14" w:after="0" w:line="260" w:lineRule="exact"/>
        <w:jc w:val="both"/>
        <w:rPr>
          <w:rFonts w:ascii="Times New Roman" w:hAnsi="Times New Roman"/>
          <w:b/>
          <w:sz w:val="24"/>
          <w:szCs w:val="24"/>
        </w:rPr>
      </w:pPr>
    </w:p>
    <w:p w14:paraId="57D9ADEB" w14:textId="77777777" w:rsidR="00852C70" w:rsidRDefault="000A1714">
      <w:pPr>
        <w:spacing w:before="14" w:after="0" w:line="260" w:lineRule="exact"/>
        <w:jc w:val="both"/>
        <w:rPr>
          <w:rFonts w:ascii="Times New Roman" w:hAnsi="Times New Roman"/>
          <w:b/>
          <w:sz w:val="24"/>
          <w:szCs w:val="24"/>
        </w:rPr>
      </w:pPr>
      <w:r>
        <w:rPr>
          <w:rFonts w:ascii="Times New Roman" w:hAnsi="Times New Roman"/>
          <w:b/>
          <w:sz w:val="24"/>
          <w:szCs w:val="24"/>
        </w:rPr>
        <w:t>5.3. Suggestion</w:t>
      </w:r>
    </w:p>
    <w:p w14:paraId="54F1E87C" w14:textId="77777777" w:rsidR="00852C70" w:rsidRDefault="000A1714">
      <w:pPr>
        <w:spacing w:before="14" w:line="260" w:lineRule="exact"/>
        <w:jc w:val="both"/>
        <w:rPr>
          <w:rFonts w:ascii="Times New Roman" w:hAnsi="Times New Roman"/>
          <w:sz w:val="24"/>
          <w:szCs w:val="24"/>
        </w:rPr>
      </w:pPr>
      <w:r>
        <w:rPr>
          <w:rFonts w:ascii="Times New Roman" w:hAnsi="Times New Roman"/>
          <w:sz w:val="24"/>
          <w:szCs w:val="24"/>
        </w:rPr>
        <w:t>For further research, it is hoped that more samples will be used for maximum results. It is also recommended to expand the selection of variables so that further research can be more accurate.</w:t>
      </w:r>
    </w:p>
    <w:p w14:paraId="5F70CE43" w14:textId="77777777" w:rsidR="005C4F21" w:rsidRDefault="005C4F21">
      <w:pPr>
        <w:spacing w:before="14" w:line="260" w:lineRule="exact"/>
        <w:jc w:val="both"/>
        <w:rPr>
          <w:rFonts w:ascii="Times New Roman" w:hAnsi="Times New Roman"/>
          <w:b/>
          <w:sz w:val="24"/>
          <w:szCs w:val="24"/>
        </w:rPr>
      </w:pPr>
    </w:p>
    <w:p w14:paraId="05A5CBCA" w14:textId="77777777" w:rsidR="00852C70" w:rsidRDefault="000A1714">
      <w:pPr>
        <w:spacing w:before="14" w:line="260" w:lineRule="exact"/>
        <w:jc w:val="both"/>
        <w:rPr>
          <w:rFonts w:ascii="Times New Roman" w:hAnsi="Times New Roman"/>
          <w:b/>
          <w:sz w:val="24"/>
          <w:szCs w:val="24"/>
        </w:rPr>
      </w:pPr>
      <w:r>
        <w:rPr>
          <w:rFonts w:ascii="Times New Roman" w:hAnsi="Times New Roman"/>
          <w:b/>
          <w:sz w:val="24"/>
          <w:szCs w:val="24"/>
        </w:rPr>
        <w:t>Reference</w:t>
      </w:r>
    </w:p>
    <w:p w14:paraId="4487C9FE" w14:textId="77777777" w:rsidR="00852C70" w:rsidRDefault="000A1714">
      <w:pPr>
        <w:jc w:val="both"/>
        <w:rPr>
          <w:rFonts w:ascii="Times New Roman" w:hAnsi="Times New Roman"/>
          <w:color w:val="000000"/>
          <w:sz w:val="24"/>
          <w:szCs w:val="24"/>
        </w:rPr>
      </w:pPr>
      <w:r>
        <w:rPr>
          <w:rFonts w:ascii="Times New Roman" w:hAnsi="Times New Roman"/>
          <w:color w:val="000000"/>
          <w:sz w:val="24"/>
          <w:szCs w:val="24"/>
        </w:rPr>
        <w:t>Indriantoro, Nur, and Bambang Supomo, 1999, Research and Business Methodology, Yogyakarta: BPFE Yogyakarta</w:t>
      </w:r>
    </w:p>
    <w:p w14:paraId="285CE54C" w14:textId="77777777" w:rsidR="00852C70" w:rsidRDefault="000A1714">
      <w:pPr>
        <w:jc w:val="both"/>
        <w:rPr>
          <w:rFonts w:ascii="Times New Roman" w:hAnsi="Times New Roman"/>
          <w:i/>
          <w:iCs/>
          <w:color w:val="222222"/>
          <w:sz w:val="24"/>
          <w:szCs w:val="24"/>
          <w:shd w:val="clear" w:color="auto" w:fill="FFFFFF"/>
        </w:rPr>
      </w:pPr>
      <w:r>
        <w:rPr>
          <w:rFonts w:ascii="Times New Roman" w:hAnsi="Times New Roman"/>
          <w:color w:val="222222"/>
          <w:sz w:val="24"/>
          <w:szCs w:val="24"/>
          <w:shd w:val="clear" w:color="auto" w:fill="FFFFFF"/>
        </w:rPr>
        <w:t xml:space="preserve">Sugiyono, MPP (2007). Quantitative Approach. </w:t>
      </w:r>
      <w:r>
        <w:rPr>
          <w:rFonts w:ascii="Times New Roman" w:hAnsi="Times New Roman"/>
          <w:i/>
          <w:iCs/>
          <w:color w:val="222222"/>
          <w:sz w:val="24"/>
          <w:szCs w:val="24"/>
          <w:shd w:val="clear" w:color="auto" w:fill="FFFFFF"/>
        </w:rPr>
        <w:t>Qualitative, and R&amp;D, Bandung: Alphabet</w:t>
      </w:r>
    </w:p>
    <w:p w14:paraId="0ED56E27"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sz w:val="24"/>
          <w:szCs w:val="24"/>
        </w:rPr>
        <w:lastRenderedPageBreak/>
        <w:fldChar w:fldCharType="begin"/>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Pr>
          <w:rFonts w:ascii="Times New Roman" w:hAnsi="Times New Roman"/>
          <w:noProof/>
          <w:sz w:val="24"/>
          <w:szCs w:val="24"/>
        </w:rPr>
        <w:t xml:space="preserve">Adebanjo, D., Teh, P.-L., &amp; Ahmed, P. (2016). </w:t>
      </w:r>
      <w:r>
        <w:rPr>
          <w:rFonts w:ascii="Times New Roman" w:hAnsi="Times New Roman"/>
          <w:i/>
          <w:iCs/>
          <w:noProof/>
          <w:sz w:val="24"/>
          <w:szCs w:val="24"/>
        </w:rPr>
        <w:t xml:space="preserve">Article information : The impact of external pressure and sustainable management practices on manufacturing performance and environmental outcomes </w:t>
      </w:r>
      <w:r>
        <w:rPr>
          <w:rFonts w:ascii="Times New Roman" w:hAnsi="Times New Roman"/>
          <w:noProof/>
          <w:sz w:val="24"/>
          <w:szCs w:val="24"/>
        </w:rPr>
        <w:t>.</w:t>
      </w:r>
    </w:p>
    <w:p w14:paraId="2CEF83F8"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Augustia, D. (2010). Environmental Cost Reporting as a Tool for Decision Making Related to Environmental Management. </w:t>
      </w:r>
      <w:r>
        <w:rPr>
          <w:rFonts w:ascii="Times New Roman" w:hAnsi="Times New Roman"/>
          <w:i/>
          <w:iCs/>
          <w:noProof/>
          <w:sz w:val="24"/>
          <w:szCs w:val="24"/>
        </w:rPr>
        <w:t xml:space="preserve">ACCRUAL: Journal of Accounting </w:t>
      </w:r>
      <w:r>
        <w:rPr>
          <w:rFonts w:ascii="Times New Roman" w:hAnsi="Times New Roman"/>
          <w:noProof/>
          <w:sz w:val="24"/>
          <w:szCs w:val="24"/>
        </w:rPr>
        <w:t xml:space="preserve">, </w:t>
      </w:r>
      <w:r>
        <w:rPr>
          <w:rFonts w:ascii="Times New Roman" w:hAnsi="Times New Roman"/>
          <w:i/>
          <w:iCs/>
          <w:noProof/>
          <w:sz w:val="24"/>
          <w:szCs w:val="24"/>
        </w:rPr>
        <w:t xml:space="preserve">1 </w:t>
      </w:r>
      <w:r>
        <w:rPr>
          <w:rFonts w:ascii="Times New Roman" w:hAnsi="Times New Roman"/>
          <w:noProof/>
          <w:sz w:val="24"/>
          <w:szCs w:val="24"/>
        </w:rPr>
        <w:t>(2), 190. https://doi.org/10.26740/jaj.v1n2.p190-214</w:t>
      </w:r>
    </w:p>
    <w:p w14:paraId="7BA6849A"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Alkisher, A. (2018). </w:t>
      </w:r>
      <w:r>
        <w:rPr>
          <w:rFonts w:ascii="Times New Roman" w:hAnsi="Times New Roman"/>
          <w:i/>
          <w:iCs/>
          <w:noProof/>
          <w:sz w:val="24"/>
          <w:szCs w:val="24"/>
        </w:rPr>
        <w:t xml:space="preserve">Overview of Drivers behind Environmental Management Accounting (EMA) Overview of Drivers behind </w:t>
      </w:r>
      <w:r>
        <w:rPr>
          <w:rFonts w:ascii="Times New Roman" w:hAnsi="Times New Roman"/>
          <w:noProof/>
          <w:sz w:val="24"/>
          <w:szCs w:val="24"/>
        </w:rPr>
        <w:t xml:space="preserve">. </w:t>
      </w:r>
      <w:r>
        <w:rPr>
          <w:rFonts w:ascii="Times New Roman" w:hAnsi="Times New Roman"/>
          <w:i/>
          <w:iCs/>
          <w:noProof/>
          <w:sz w:val="24"/>
          <w:szCs w:val="24"/>
        </w:rPr>
        <w:t xml:space="preserve">November </w:t>
      </w:r>
      <w:r>
        <w:rPr>
          <w:rFonts w:ascii="Times New Roman" w:hAnsi="Times New Roman"/>
          <w:noProof/>
          <w:sz w:val="24"/>
          <w:szCs w:val="24"/>
        </w:rPr>
        <w:t>.</w:t>
      </w:r>
    </w:p>
    <w:p w14:paraId="3E39FB09"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Aniela, Y. (2012). The Role of Environmental Accounting in Improving Environmental Performance and Company Financial Performance. </w:t>
      </w:r>
      <w:r>
        <w:rPr>
          <w:rFonts w:ascii="Times New Roman" w:hAnsi="Times New Roman"/>
          <w:i/>
          <w:iCs/>
          <w:noProof/>
          <w:sz w:val="24"/>
          <w:szCs w:val="24"/>
        </w:rPr>
        <w:t xml:space="preserve">Accounting Student Scientific Periodical </w:t>
      </w:r>
      <w:r>
        <w:rPr>
          <w:rFonts w:ascii="Times New Roman" w:hAnsi="Times New Roman"/>
          <w:noProof/>
          <w:sz w:val="24"/>
          <w:szCs w:val="24"/>
        </w:rPr>
        <w:t xml:space="preserve">, </w:t>
      </w:r>
      <w:r>
        <w:rPr>
          <w:rFonts w:ascii="Times New Roman" w:hAnsi="Times New Roman"/>
          <w:i/>
          <w:iCs/>
          <w:noProof/>
          <w:sz w:val="24"/>
          <w:szCs w:val="24"/>
        </w:rPr>
        <w:t xml:space="preserve">1 </w:t>
      </w:r>
      <w:r>
        <w:rPr>
          <w:rFonts w:ascii="Times New Roman" w:hAnsi="Times New Roman"/>
          <w:noProof/>
          <w:sz w:val="24"/>
          <w:szCs w:val="24"/>
        </w:rPr>
        <w:t>(1), 15–19. http://journal.wima.ac.id/index.php/BIMA/article/view/24</w:t>
      </w:r>
    </w:p>
    <w:p w14:paraId="5160621C"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Awang, Z. (2016). </w:t>
      </w:r>
      <w:r>
        <w:rPr>
          <w:rFonts w:ascii="Times New Roman" w:hAnsi="Times New Roman"/>
          <w:i/>
          <w:iCs/>
          <w:noProof/>
          <w:sz w:val="24"/>
          <w:szCs w:val="24"/>
        </w:rPr>
        <w:t xml:space="preserve">Re: What is discriminant validity? </w:t>
      </w:r>
      <w:r>
        <w:rPr>
          <w:rFonts w:ascii="Times New Roman" w:hAnsi="Times New Roman"/>
          <w:noProof/>
          <w:sz w:val="24"/>
          <w:szCs w:val="24"/>
        </w:rPr>
        <w:t>https://www.researchgate.net/post/What_is_discriminant_validity/575fac5796b7e44e830d6aee/citation/download.</w:t>
      </w:r>
    </w:p>
    <w:p w14:paraId="79A09DD7"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Central Java Province Central Statistics Agency. (2020). </w:t>
      </w:r>
      <w:r>
        <w:rPr>
          <w:rFonts w:ascii="Times New Roman" w:hAnsi="Times New Roman"/>
          <w:i/>
          <w:iCs/>
          <w:noProof/>
          <w:sz w:val="24"/>
          <w:szCs w:val="24"/>
        </w:rPr>
        <w:t xml:space="preserve">DIRECTORY OF LARGE AND MEDIUM MANUFACTURING INDUSTRIES OF CENTRAL JAVA PROVINCE 2020 </w:t>
      </w:r>
      <w:r>
        <w:rPr>
          <w:rFonts w:ascii="Times New Roman" w:hAnsi="Times New Roman"/>
          <w:noProof/>
          <w:sz w:val="24"/>
          <w:szCs w:val="24"/>
        </w:rPr>
        <w:t>.</w:t>
      </w:r>
    </w:p>
    <w:p w14:paraId="21D440DC"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Budiaji, W. (2013). Skala Pengukuran dan Jumlah Respon Skala Likert (The Measurement Scale and The Number of Responses in Likert Scale). </w:t>
      </w:r>
      <w:r>
        <w:rPr>
          <w:rFonts w:ascii="Times New Roman" w:hAnsi="Times New Roman"/>
          <w:i/>
          <w:iCs/>
          <w:noProof/>
          <w:sz w:val="24"/>
          <w:szCs w:val="24"/>
        </w:rPr>
        <w:t>Ilmu Pertanian Dan Perikanan</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(2), 127–133. http://umbidharma.org/jipp</w:t>
      </w:r>
    </w:p>
    <w:p w14:paraId="66C90638"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Burritt, R. L., &amp; Schaltegger, S. (2010). Sustainability accounting and reporting: Fad or trend? </w:t>
      </w:r>
      <w:r>
        <w:rPr>
          <w:rFonts w:ascii="Times New Roman" w:hAnsi="Times New Roman"/>
          <w:i/>
          <w:iCs/>
          <w:noProof/>
          <w:sz w:val="24"/>
          <w:szCs w:val="24"/>
        </w:rPr>
        <w:t>Accounting, Auditing &amp; Accountability Journal</w:t>
      </w:r>
      <w:r>
        <w:rPr>
          <w:rFonts w:ascii="Times New Roman" w:hAnsi="Times New Roman"/>
          <w:noProof/>
          <w:sz w:val="24"/>
          <w:szCs w:val="24"/>
        </w:rPr>
        <w:t>. https://doi.org/10.1108/09513571011080144</w:t>
      </w:r>
    </w:p>
    <w:p w14:paraId="49008B6D"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Christ, K. L., &amp; Burritt, R. L. (2013). Environmental management accounting: The significance of contingent variables for adoption. </w:t>
      </w:r>
      <w:r>
        <w:rPr>
          <w:rFonts w:ascii="Times New Roman" w:hAnsi="Times New Roman"/>
          <w:i/>
          <w:iCs/>
          <w:noProof/>
          <w:sz w:val="24"/>
          <w:szCs w:val="24"/>
        </w:rPr>
        <w:t>Journal of Cleaner Production</w:t>
      </w:r>
      <w:r>
        <w:rPr>
          <w:rFonts w:ascii="Times New Roman" w:hAnsi="Times New Roman"/>
          <w:noProof/>
          <w:sz w:val="24"/>
          <w:szCs w:val="24"/>
        </w:rPr>
        <w:t>. https://doi.org/10.1016/j.jclepro.2012.10.007</w:t>
      </w:r>
    </w:p>
    <w:p w14:paraId="34F1C2D1"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DiMaggio, P. J., &amp; Powell, W. W. (1983). The Iron Cage Revisited: Institutional Isomorphism and Collective Rationality in Organizational Fields. In </w:t>
      </w:r>
      <w:r>
        <w:rPr>
          <w:rFonts w:ascii="Times New Roman" w:hAnsi="Times New Roman"/>
          <w:i/>
          <w:iCs/>
          <w:noProof/>
          <w:sz w:val="24"/>
          <w:szCs w:val="24"/>
        </w:rPr>
        <w:t>American Sociological Review</w:t>
      </w:r>
      <w:r>
        <w:rPr>
          <w:rFonts w:ascii="Times New Roman" w:hAnsi="Times New Roman"/>
          <w:noProof/>
          <w:sz w:val="24"/>
          <w:szCs w:val="24"/>
        </w:rPr>
        <w:t xml:space="preserve"> (Vol. 48, Issue 2, p. 147). https://doi.org/10.2307/2095101</w:t>
      </w:r>
    </w:p>
    <w:p w14:paraId="39CBAD2F"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Dwyer, R., Lamond, D., Molina-azorín, J. F., Claver-cortés, E., &amp; López-gamero, M. D. (2013). </w:t>
      </w:r>
      <w:r>
        <w:rPr>
          <w:rFonts w:ascii="Times New Roman" w:hAnsi="Times New Roman"/>
          <w:i/>
          <w:iCs/>
          <w:noProof/>
          <w:sz w:val="24"/>
          <w:szCs w:val="24"/>
        </w:rPr>
        <w:t>Environmental protection and financial performance : an empirical analysis in Wales</w:t>
      </w:r>
      <w:r>
        <w:rPr>
          <w:rFonts w:ascii="Times New Roman" w:hAnsi="Times New Roman"/>
          <w:noProof/>
          <w:sz w:val="24"/>
          <w:szCs w:val="24"/>
        </w:rPr>
        <w:t>. https://doi.org/10.1108/IJOPM-11-2010-0374</w:t>
      </w:r>
    </w:p>
    <w:p w14:paraId="55BFB512"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Ferreira, A., Moulang, C., &amp; Hendro, B. (2010). Environmental management accounting and innovation: An exploratory analysis. </w:t>
      </w:r>
      <w:r>
        <w:rPr>
          <w:rFonts w:ascii="Times New Roman" w:hAnsi="Times New Roman"/>
          <w:i/>
          <w:iCs/>
          <w:noProof/>
          <w:sz w:val="24"/>
          <w:szCs w:val="24"/>
        </w:rPr>
        <w:t>Accounting, Auditing and Accountability Journal</w:t>
      </w:r>
      <w:r>
        <w:rPr>
          <w:rFonts w:ascii="Times New Roman" w:hAnsi="Times New Roman"/>
          <w:noProof/>
          <w:sz w:val="24"/>
          <w:szCs w:val="24"/>
        </w:rPr>
        <w:t xml:space="preserve">, </w:t>
      </w:r>
      <w:r>
        <w:rPr>
          <w:rFonts w:ascii="Times New Roman" w:hAnsi="Times New Roman"/>
          <w:i/>
          <w:iCs/>
          <w:noProof/>
          <w:sz w:val="24"/>
          <w:szCs w:val="24"/>
        </w:rPr>
        <w:t>23</w:t>
      </w:r>
      <w:r>
        <w:rPr>
          <w:rFonts w:ascii="Times New Roman" w:hAnsi="Times New Roman"/>
          <w:noProof/>
          <w:sz w:val="24"/>
          <w:szCs w:val="24"/>
        </w:rPr>
        <w:t>(7), 920–948. https://doi.org/10.1108/09513571011080180</w:t>
      </w:r>
    </w:p>
    <w:p w14:paraId="36925AF1"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Ghozali, I., &amp; Latan, H. (2015). Partial least squares: Konsep, teknik, dan aplikasi menggunakan program smart PLS 3.0 (2nd ed.). In </w:t>
      </w:r>
      <w:r>
        <w:rPr>
          <w:rFonts w:ascii="Times New Roman" w:hAnsi="Times New Roman"/>
          <w:i/>
          <w:iCs/>
          <w:noProof/>
          <w:sz w:val="24"/>
          <w:szCs w:val="24"/>
        </w:rPr>
        <w:t>Semarang: Universitas Dipone-goro Semarang.</w:t>
      </w:r>
    </w:p>
    <w:p w14:paraId="27B79C81"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Ghozali, I., &amp; Latan, H. (2015). Partial Least Squares, concepts, techniques and applications using the Smartpls 3.0 program for empirical research. </w:t>
      </w:r>
      <w:r>
        <w:rPr>
          <w:rFonts w:ascii="Times New Roman" w:hAnsi="Times New Roman"/>
          <w:i/>
          <w:iCs/>
          <w:noProof/>
          <w:sz w:val="24"/>
          <w:szCs w:val="24"/>
        </w:rPr>
        <w:t>Semarang: UNDIP Publishing Agency</w:t>
      </w:r>
      <w:r>
        <w:rPr>
          <w:rFonts w:ascii="Times New Roman" w:hAnsi="Times New Roman"/>
          <w:noProof/>
          <w:sz w:val="24"/>
          <w:szCs w:val="24"/>
        </w:rPr>
        <w:t>.</w:t>
      </w:r>
    </w:p>
    <w:p w14:paraId="49FBC93E"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lastRenderedPageBreak/>
        <w:t xml:space="preserve">Guzmán, S. A., Fóster, P. F., Ramírez-Correa, P., Grandón, E. E., &amp; Alfaro-Perez, J. (2018). Information Systems and their Effect on Organizational Performance: An Inquiry into Job Satisfaction and Commitment in Higher Education Institutions. </w:t>
      </w:r>
      <w:r>
        <w:rPr>
          <w:rFonts w:ascii="Times New Roman" w:hAnsi="Times New Roman"/>
          <w:i/>
          <w:iCs/>
          <w:noProof/>
          <w:sz w:val="24"/>
          <w:szCs w:val="24"/>
        </w:rPr>
        <w:t>Journal of Information Systems Engineering &amp; Management</w:t>
      </w:r>
      <w:r>
        <w:rPr>
          <w:rFonts w:ascii="Times New Roman" w:hAnsi="Times New Roman"/>
          <w:noProof/>
          <w:sz w:val="24"/>
          <w:szCs w:val="24"/>
        </w:rPr>
        <w:t xml:space="preserve">, </w:t>
      </w:r>
      <w:r>
        <w:rPr>
          <w:rFonts w:ascii="Times New Roman" w:hAnsi="Times New Roman"/>
          <w:i/>
          <w:iCs/>
          <w:noProof/>
          <w:sz w:val="24"/>
          <w:szCs w:val="24"/>
        </w:rPr>
        <w:t>3</w:t>
      </w:r>
      <w:r>
        <w:rPr>
          <w:rFonts w:ascii="Times New Roman" w:hAnsi="Times New Roman"/>
          <w:noProof/>
          <w:sz w:val="24"/>
          <w:szCs w:val="24"/>
        </w:rPr>
        <w:t>(4). https://doi.org/10.20897/jisem/3937</w:t>
      </w:r>
    </w:p>
    <w:p w14:paraId="5B643B32"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Habidin, N. F., Hashim, S., Fuzi, N. M., &amp; Salleh, M. I. (2018). Total productive maintenance, kaizen event, and performance. </w:t>
      </w:r>
      <w:r>
        <w:rPr>
          <w:rFonts w:ascii="Times New Roman" w:hAnsi="Times New Roman"/>
          <w:i/>
          <w:iCs/>
          <w:noProof/>
          <w:sz w:val="24"/>
          <w:szCs w:val="24"/>
        </w:rPr>
        <w:t>International Journal of Quality and Reliability Management</w:t>
      </w:r>
      <w:r>
        <w:rPr>
          <w:rFonts w:ascii="Times New Roman" w:hAnsi="Times New Roman"/>
          <w:noProof/>
          <w:sz w:val="24"/>
          <w:szCs w:val="24"/>
        </w:rPr>
        <w:t xml:space="preserve">, </w:t>
      </w:r>
      <w:r>
        <w:rPr>
          <w:rFonts w:ascii="Times New Roman" w:hAnsi="Times New Roman"/>
          <w:i/>
          <w:iCs/>
          <w:noProof/>
          <w:sz w:val="24"/>
          <w:szCs w:val="24"/>
        </w:rPr>
        <w:t>35</w:t>
      </w:r>
      <w:r>
        <w:rPr>
          <w:rFonts w:ascii="Times New Roman" w:hAnsi="Times New Roman"/>
          <w:noProof/>
          <w:sz w:val="24"/>
          <w:szCs w:val="24"/>
        </w:rPr>
        <w:t>(9), 1853–1867. https://doi.org/10.1108/IJQRM-11-2017-0234</w:t>
      </w:r>
    </w:p>
    <w:p w14:paraId="2F3FC7AE"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Hailu, T. (2014). </w:t>
      </w:r>
      <w:r>
        <w:rPr>
          <w:rFonts w:ascii="Times New Roman" w:hAnsi="Times New Roman"/>
          <w:i/>
          <w:iCs/>
          <w:noProof/>
          <w:sz w:val="24"/>
          <w:szCs w:val="24"/>
        </w:rPr>
        <w:t>The Impact of Information System ( IS ) on Organziational Performace : With Special Refernce to Ethio-Telecom Southern Region , Hawassa</w:t>
      </w:r>
      <w:r>
        <w:rPr>
          <w:rFonts w:ascii="Times New Roman" w:hAnsi="Times New Roman"/>
          <w:noProof/>
          <w:sz w:val="24"/>
          <w:szCs w:val="24"/>
        </w:rPr>
        <w:t xml:space="preserve">. </w:t>
      </w:r>
      <w:r>
        <w:rPr>
          <w:rFonts w:ascii="Times New Roman" w:hAnsi="Times New Roman"/>
          <w:i/>
          <w:iCs/>
          <w:noProof/>
          <w:sz w:val="24"/>
          <w:szCs w:val="24"/>
        </w:rPr>
        <w:t>6</w:t>
      </w:r>
      <w:r>
        <w:rPr>
          <w:rFonts w:ascii="Times New Roman" w:hAnsi="Times New Roman"/>
          <w:noProof/>
          <w:sz w:val="24"/>
          <w:szCs w:val="24"/>
        </w:rPr>
        <w:t>(37), 331–339.</w:t>
      </w:r>
    </w:p>
    <w:p w14:paraId="3CDC21DF"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Hair, J. F., Ringle, C. M., &amp; Sarstedt, M. (2011). PLS-SEM: Indeed a silver bullet. </w:t>
      </w:r>
      <w:r>
        <w:rPr>
          <w:rFonts w:ascii="Times New Roman" w:hAnsi="Times New Roman"/>
          <w:i/>
          <w:iCs/>
          <w:noProof/>
          <w:sz w:val="24"/>
          <w:szCs w:val="24"/>
        </w:rPr>
        <w:t>Journal of Marketing Theory and Practice</w:t>
      </w:r>
      <w:r>
        <w:rPr>
          <w:rFonts w:ascii="Times New Roman" w:hAnsi="Times New Roman"/>
          <w:noProof/>
          <w:sz w:val="24"/>
          <w:szCs w:val="24"/>
        </w:rPr>
        <w:t>. https://doi.org/10.2753/MTP1069-6679190202</w:t>
      </w:r>
    </w:p>
    <w:p w14:paraId="640C42AC"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Hanim, F., Mohamed, B., Zulkifle, Z. B., Binti, S. Z., &amp; Kadir, A. (2016). Safety And Health Practices And Injury Management In Manufacturing Industry. </w:t>
      </w:r>
      <w:r>
        <w:rPr>
          <w:rFonts w:ascii="Times New Roman" w:hAnsi="Times New Roman"/>
          <w:i/>
          <w:iCs/>
          <w:noProof/>
          <w:sz w:val="24"/>
          <w:szCs w:val="24"/>
        </w:rPr>
        <w:t>Procedia Economics and Finance</w:t>
      </w:r>
      <w:r>
        <w:rPr>
          <w:rFonts w:ascii="Times New Roman" w:hAnsi="Times New Roman"/>
          <w:noProof/>
          <w:sz w:val="24"/>
          <w:szCs w:val="24"/>
        </w:rPr>
        <w:t xml:space="preserve">, </w:t>
      </w:r>
      <w:r>
        <w:rPr>
          <w:rFonts w:ascii="Times New Roman" w:hAnsi="Times New Roman"/>
          <w:i/>
          <w:iCs/>
          <w:noProof/>
          <w:sz w:val="24"/>
          <w:szCs w:val="24"/>
        </w:rPr>
        <w:t>35</w:t>
      </w:r>
      <w:r>
        <w:rPr>
          <w:rFonts w:ascii="Times New Roman" w:hAnsi="Times New Roman"/>
          <w:noProof/>
          <w:sz w:val="24"/>
          <w:szCs w:val="24"/>
        </w:rPr>
        <w:t>(October 2015), 705–712. https://doi.org/10.1016/S2212-5671(16)00088-5</w:t>
      </w:r>
    </w:p>
    <w:p w14:paraId="4566B872"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Hutahayan, B. (2020). </w:t>
      </w:r>
      <w:r>
        <w:rPr>
          <w:rFonts w:ascii="Times New Roman" w:hAnsi="Times New Roman"/>
          <w:i/>
          <w:iCs/>
          <w:noProof/>
          <w:sz w:val="24"/>
          <w:szCs w:val="24"/>
        </w:rPr>
        <w:t>The mediating role of human capital and management accounting information system in the relationship between innovation strategy and internal process performance and the impact on corporate financial performance</w:t>
      </w:r>
      <w:r>
        <w:rPr>
          <w:rFonts w:ascii="Times New Roman" w:hAnsi="Times New Roman"/>
          <w:noProof/>
          <w:sz w:val="24"/>
          <w:szCs w:val="24"/>
        </w:rPr>
        <w:t xml:space="preserve">. </w:t>
      </w:r>
      <w:r>
        <w:rPr>
          <w:rFonts w:ascii="Times New Roman" w:hAnsi="Times New Roman"/>
          <w:i/>
          <w:iCs/>
          <w:noProof/>
          <w:sz w:val="24"/>
          <w:szCs w:val="24"/>
        </w:rPr>
        <w:t>27</w:t>
      </w:r>
      <w:r>
        <w:rPr>
          <w:rFonts w:ascii="Times New Roman" w:hAnsi="Times New Roman"/>
          <w:noProof/>
          <w:sz w:val="24"/>
          <w:szCs w:val="24"/>
        </w:rPr>
        <w:t>(4), 1289–1318. https://doi.org/10.1108/BIJ-02-2018-0034</w:t>
      </w:r>
    </w:p>
    <w:p w14:paraId="10BEBFD7"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likert. (1932). “Technique for the Measurement of Attitudes, A.” </w:t>
      </w:r>
      <w:r>
        <w:rPr>
          <w:rFonts w:ascii="Times New Roman" w:hAnsi="Times New Roman"/>
          <w:i/>
          <w:iCs/>
          <w:noProof/>
          <w:sz w:val="24"/>
          <w:szCs w:val="24"/>
        </w:rPr>
        <w:t>Encyclopedia of Research Design</w:t>
      </w:r>
      <w:r>
        <w:rPr>
          <w:rFonts w:ascii="Times New Roman" w:hAnsi="Times New Roman"/>
          <w:noProof/>
          <w:sz w:val="24"/>
          <w:szCs w:val="24"/>
        </w:rPr>
        <w:t>. https://doi.org/10.4135/9781412961288.n454</w:t>
      </w:r>
    </w:p>
    <w:p w14:paraId="00D24718"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Marcus, A. A., &amp; Fremeth, A. R. (2009). Green management matters regardless. </w:t>
      </w:r>
      <w:r>
        <w:rPr>
          <w:rFonts w:ascii="Times New Roman" w:hAnsi="Times New Roman"/>
          <w:i/>
          <w:iCs/>
          <w:noProof/>
          <w:sz w:val="24"/>
          <w:szCs w:val="24"/>
        </w:rPr>
        <w:t>Academy of Management Perspectives</w:t>
      </w:r>
      <w:r>
        <w:rPr>
          <w:rFonts w:ascii="Times New Roman" w:hAnsi="Times New Roman"/>
          <w:noProof/>
          <w:sz w:val="24"/>
          <w:szCs w:val="24"/>
        </w:rPr>
        <w:t>. https://doi.org/10.5465/amp.2009.43479261</w:t>
      </w:r>
    </w:p>
    <w:p w14:paraId="1DFE08BC"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Mohd Fuzi, N., Habidin, N. F., Janudin, S. E., Ong, S. Y. Y., &amp; Ku Bahador, K. M. (2019). Environmental management accounting practices and organizational performance: the mediating effect of information system. </w:t>
      </w:r>
      <w:r>
        <w:rPr>
          <w:rFonts w:ascii="Times New Roman" w:hAnsi="Times New Roman"/>
          <w:i/>
          <w:iCs/>
          <w:noProof/>
          <w:sz w:val="24"/>
          <w:szCs w:val="24"/>
        </w:rPr>
        <w:t>Measuring Business Excellence</w:t>
      </w:r>
      <w:r>
        <w:rPr>
          <w:rFonts w:ascii="Times New Roman" w:hAnsi="Times New Roman"/>
          <w:noProof/>
          <w:sz w:val="24"/>
          <w:szCs w:val="24"/>
        </w:rPr>
        <w:t xml:space="preserve">, </w:t>
      </w:r>
      <w:r>
        <w:rPr>
          <w:rFonts w:ascii="Times New Roman" w:hAnsi="Times New Roman"/>
          <w:i/>
          <w:iCs/>
          <w:noProof/>
          <w:sz w:val="24"/>
          <w:szCs w:val="24"/>
        </w:rPr>
        <w:t>23</w:t>
      </w:r>
      <w:r>
        <w:rPr>
          <w:rFonts w:ascii="Times New Roman" w:hAnsi="Times New Roman"/>
          <w:noProof/>
          <w:sz w:val="24"/>
          <w:szCs w:val="24"/>
        </w:rPr>
        <w:t>(4), 411–425. https://doi.org/10.1108/MBE-12-2018-0109</w:t>
      </w:r>
    </w:p>
    <w:p w14:paraId="35A1E3CC"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Muganda, N., John, O., Roy, K., Ochara, N. M., Kandiri, J., &amp; Johnson, R. (2014). </w:t>
      </w:r>
      <w:r>
        <w:rPr>
          <w:rFonts w:ascii="Times New Roman" w:hAnsi="Times New Roman"/>
          <w:i/>
          <w:iCs/>
          <w:noProof/>
          <w:sz w:val="24"/>
          <w:szCs w:val="24"/>
        </w:rPr>
        <w:t>technology projects in Africa Influence processes of implementation effectiveness in challenged information technology projects in Africa</w:t>
      </w:r>
      <w:r>
        <w:rPr>
          <w:rFonts w:ascii="Times New Roman" w:hAnsi="Times New Roman"/>
          <w:noProof/>
          <w:sz w:val="24"/>
          <w:szCs w:val="24"/>
        </w:rPr>
        <w:t>. https://doi.org/10.1108/ITP-09-2013-0167</w:t>
      </w:r>
    </w:p>
    <w:p w14:paraId="1EACE3BD"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Mulyadi, M. (2013). Quantitative and Qualitative Research and Basic Rationale for Combining Them. </w:t>
      </w:r>
      <w:r>
        <w:rPr>
          <w:rFonts w:ascii="Times New Roman" w:hAnsi="Times New Roman"/>
          <w:i/>
          <w:iCs/>
          <w:noProof/>
          <w:sz w:val="24"/>
          <w:szCs w:val="24"/>
        </w:rPr>
        <w:t xml:space="preserve">Journal of Communication and Media Studies </w:t>
      </w:r>
      <w:r>
        <w:rPr>
          <w:rFonts w:ascii="Times New Roman" w:hAnsi="Times New Roman"/>
          <w:noProof/>
          <w:sz w:val="24"/>
          <w:szCs w:val="24"/>
        </w:rPr>
        <w:t xml:space="preserve">, </w:t>
      </w:r>
      <w:r>
        <w:rPr>
          <w:rFonts w:ascii="Times New Roman" w:hAnsi="Times New Roman"/>
          <w:i/>
          <w:iCs/>
          <w:noProof/>
          <w:sz w:val="24"/>
          <w:szCs w:val="24"/>
        </w:rPr>
        <w:t xml:space="preserve">15 </w:t>
      </w:r>
      <w:r>
        <w:rPr>
          <w:rFonts w:ascii="Times New Roman" w:hAnsi="Times New Roman"/>
          <w:noProof/>
          <w:sz w:val="24"/>
          <w:szCs w:val="24"/>
        </w:rPr>
        <w:t>(1), 128. https://doi.org/10.31445/jskm.2011.150106</w:t>
      </w:r>
    </w:p>
    <w:p w14:paraId="69A9848D"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Ningsih Wiwik Fitria, &amp; Rachmawati Ratih. (2017). </w:t>
      </w:r>
      <w:r>
        <w:rPr>
          <w:rFonts w:ascii="Times New Roman" w:hAnsi="Times New Roman"/>
          <w:i/>
          <w:iCs/>
          <w:noProof/>
          <w:sz w:val="24"/>
          <w:szCs w:val="24"/>
        </w:rPr>
        <w:t xml:space="preserve">Implementation of green accounting in improving company performance | ningsih | JABE (Journal of Applied Business and Economics) </w:t>
      </w:r>
      <w:r>
        <w:rPr>
          <w:rFonts w:ascii="Times New Roman" w:hAnsi="Times New Roman"/>
          <w:noProof/>
          <w:sz w:val="24"/>
          <w:szCs w:val="24"/>
        </w:rPr>
        <w:t xml:space="preserve">. </w:t>
      </w:r>
      <w:r>
        <w:rPr>
          <w:rFonts w:ascii="Times New Roman" w:hAnsi="Times New Roman"/>
          <w:i/>
          <w:iCs/>
          <w:noProof/>
          <w:sz w:val="24"/>
          <w:szCs w:val="24"/>
        </w:rPr>
        <w:t xml:space="preserve">4 </w:t>
      </w:r>
      <w:r>
        <w:rPr>
          <w:rFonts w:ascii="Times New Roman" w:hAnsi="Times New Roman"/>
          <w:noProof/>
          <w:sz w:val="24"/>
          <w:szCs w:val="24"/>
        </w:rPr>
        <w:t>(2), 149–158. https://journal.lppmunindra.ac.id/index.php/JABE/article/view/2142/1630</w:t>
      </w:r>
    </w:p>
    <w:p w14:paraId="274F0C96"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Purnendu Mandal, K. B. (2016). </w:t>
      </w:r>
      <w:r>
        <w:rPr>
          <w:rFonts w:ascii="Times New Roman" w:hAnsi="Times New Roman"/>
          <w:i/>
          <w:iCs/>
          <w:noProof/>
          <w:sz w:val="24"/>
          <w:szCs w:val="24"/>
        </w:rPr>
        <w:t xml:space="preserve">Industrial Management &amp; Data Systems </w:t>
      </w:r>
      <w:r>
        <w:rPr>
          <w:rFonts w:ascii="Times New Roman" w:hAnsi="Times New Roman"/>
          <w:noProof/>
          <w:sz w:val="24"/>
          <w:szCs w:val="24"/>
        </w:rPr>
        <w:t>.</w:t>
      </w:r>
    </w:p>
    <w:p w14:paraId="1EA29788"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Santoso, HF (2012). Environmental Accounting Review of Management Accounting Information Systems for Environmental Costs. </w:t>
      </w:r>
      <w:r>
        <w:rPr>
          <w:rFonts w:ascii="Times New Roman" w:hAnsi="Times New Roman"/>
          <w:i/>
          <w:iCs/>
          <w:noProof/>
          <w:sz w:val="24"/>
          <w:szCs w:val="24"/>
        </w:rPr>
        <w:t xml:space="preserve">Journal of Accounting </w:t>
      </w:r>
      <w:r>
        <w:rPr>
          <w:rFonts w:ascii="Times New Roman" w:hAnsi="Times New Roman"/>
          <w:noProof/>
          <w:sz w:val="24"/>
          <w:szCs w:val="24"/>
        </w:rPr>
        <w:t xml:space="preserve">, </w:t>
      </w:r>
      <w:r>
        <w:rPr>
          <w:rFonts w:ascii="Times New Roman" w:hAnsi="Times New Roman"/>
          <w:i/>
          <w:iCs/>
          <w:noProof/>
          <w:sz w:val="24"/>
          <w:szCs w:val="24"/>
        </w:rPr>
        <w:t xml:space="preserve">12 </w:t>
      </w:r>
      <w:r>
        <w:rPr>
          <w:rFonts w:ascii="Times New Roman" w:hAnsi="Times New Roman"/>
          <w:noProof/>
          <w:sz w:val="24"/>
          <w:szCs w:val="24"/>
        </w:rPr>
        <w:t>(2), 635–654.</w:t>
      </w:r>
    </w:p>
    <w:p w14:paraId="5E9C095B"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lastRenderedPageBreak/>
        <w:t xml:space="preserve">Sari, RN, Pratadina, A., Anugerah, R., Kamaliah, K., &amp; Sanusi, ZM (2020). Effect of environmental management accounting practices on organizational performance: role of process innovation as a mediating variable. </w:t>
      </w:r>
      <w:r>
        <w:rPr>
          <w:rFonts w:ascii="Times New Roman" w:hAnsi="Times New Roman"/>
          <w:i/>
          <w:iCs/>
          <w:noProof/>
          <w:sz w:val="24"/>
          <w:szCs w:val="24"/>
        </w:rPr>
        <w:t xml:space="preserve">Business Process Management Journal </w:t>
      </w:r>
      <w:r>
        <w:rPr>
          <w:rFonts w:ascii="Times New Roman" w:hAnsi="Times New Roman"/>
          <w:noProof/>
          <w:sz w:val="24"/>
          <w:szCs w:val="24"/>
        </w:rPr>
        <w:t>. https://doi.org/10.1108/BPMJ-06-2020-0264</w:t>
      </w:r>
    </w:p>
    <w:p w14:paraId="231FD6CE"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Solling Hamid, R., &amp; M Anwar, S. (2019). </w:t>
      </w:r>
      <w:r>
        <w:rPr>
          <w:rFonts w:ascii="Times New Roman" w:hAnsi="Times New Roman"/>
          <w:i/>
          <w:iCs/>
          <w:noProof/>
          <w:sz w:val="24"/>
          <w:szCs w:val="24"/>
        </w:rPr>
        <w:t xml:space="preserve">Variant-based Structural Equation Modeling (SEM) </w:t>
      </w:r>
      <w:r>
        <w:rPr>
          <w:rFonts w:ascii="Times New Roman" w:hAnsi="Times New Roman"/>
          <w:noProof/>
          <w:sz w:val="24"/>
          <w:szCs w:val="24"/>
        </w:rPr>
        <w:t>(Abiratno, S. Nurdiyanti, &amp; A. Diniati Raksanaga (eds.)).</w:t>
      </w:r>
    </w:p>
    <w:p w14:paraId="17806226"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Spencer, S.Y., Adams, C., &amp; Yapa, P.W.S. (2013). The mediating effects of the adoption of an environmental information system on top management's commitment and environmental performance. </w:t>
      </w:r>
      <w:r>
        <w:rPr>
          <w:rFonts w:ascii="Times New Roman" w:hAnsi="Times New Roman"/>
          <w:i/>
          <w:iCs/>
          <w:noProof/>
          <w:sz w:val="24"/>
          <w:szCs w:val="24"/>
        </w:rPr>
        <w:t xml:space="preserve">Sustainability Accounting, Management and Policy Journal </w:t>
      </w:r>
      <w:r>
        <w:rPr>
          <w:rFonts w:ascii="Times New Roman" w:hAnsi="Times New Roman"/>
          <w:noProof/>
          <w:sz w:val="24"/>
          <w:szCs w:val="24"/>
        </w:rPr>
        <w:t xml:space="preserve">, </w:t>
      </w:r>
      <w:r>
        <w:rPr>
          <w:rFonts w:ascii="Times New Roman" w:hAnsi="Times New Roman"/>
          <w:i/>
          <w:iCs/>
          <w:noProof/>
          <w:sz w:val="24"/>
          <w:szCs w:val="24"/>
        </w:rPr>
        <w:t xml:space="preserve">4 </w:t>
      </w:r>
      <w:r>
        <w:rPr>
          <w:rFonts w:ascii="Times New Roman" w:hAnsi="Times New Roman"/>
          <w:noProof/>
          <w:sz w:val="24"/>
          <w:szCs w:val="24"/>
        </w:rPr>
        <w:t>(1), 75–102. https://doi.org/10.1108/SAMPJ-10-2011-0030</w:t>
      </w:r>
    </w:p>
    <w:p w14:paraId="3341FFF5"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Suliyanto. (2017). Quantitative Training Method Training. </w:t>
      </w:r>
      <w:r>
        <w:rPr>
          <w:rFonts w:ascii="Times New Roman" w:hAnsi="Times New Roman"/>
          <w:i/>
          <w:iCs/>
          <w:noProof/>
          <w:sz w:val="24"/>
          <w:szCs w:val="24"/>
        </w:rPr>
        <w:t xml:space="preserve">Journal of Chemical Information and Modeling </w:t>
      </w:r>
      <w:r>
        <w:rPr>
          <w:rFonts w:ascii="Times New Roman" w:hAnsi="Times New Roman"/>
          <w:noProof/>
          <w:sz w:val="24"/>
          <w:szCs w:val="24"/>
        </w:rPr>
        <w:t xml:space="preserve">, </w:t>
      </w:r>
      <w:r>
        <w:rPr>
          <w:rFonts w:ascii="Times New Roman" w:hAnsi="Times New Roman"/>
          <w:i/>
          <w:iCs/>
          <w:noProof/>
          <w:sz w:val="24"/>
          <w:szCs w:val="24"/>
        </w:rPr>
        <w:t xml:space="preserve">5 </w:t>
      </w:r>
      <w:r>
        <w:rPr>
          <w:rFonts w:ascii="Times New Roman" w:hAnsi="Times New Roman"/>
          <w:noProof/>
          <w:sz w:val="24"/>
          <w:szCs w:val="24"/>
        </w:rPr>
        <w:t>(2), 223–232.</w:t>
      </w:r>
    </w:p>
    <w:p w14:paraId="06051DAB"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Sutabri, T. (2012). Information Systems Concept. </w:t>
      </w:r>
      <w:r>
        <w:rPr>
          <w:rFonts w:ascii="Times New Roman" w:hAnsi="Times New Roman"/>
          <w:i/>
          <w:iCs/>
          <w:noProof/>
          <w:sz w:val="24"/>
          <w:szCs w:val="24"/>
        </w:rPr>
        <w:t xml:space="preserve">UPI Journal of Educational Administration </w:t>
      </w:r>
      <w:r>
        <w:rPr>
          <w:rFonts w:ascii="Times New Roman" w:hAnsi="Times New Roman"/>
          <w:noProof/>
          <w:sz w:val="24"/>
          <w:szCs w:val="24"/>
        </w:rPr>
        <w:t xml:space="preserve">, </w:t>
      </w:r>
      <w:r>
        <w:rPr>
          <w:rFonts w:ascii="Times New Roman" w:hAnsi="Times New Roman"/>
          <w:i/>
          <w:iCs/>
          <w:noProof/>
          <w:sz w:val="24"/>
          <w:szCs w:val="24"/>
        </w:rPr>
        <w:t xml:space="preserve">3 </w:t>
      </w:r>
      <w:r>
        <w:rPr>
          <w:rFonts w:ascii="Times New Roman" w:hAnsi="Times New Roman"/>
          <w:noProof/>
          <w:sz w:val="24"/>
          <w:szCs w:val="24"/>
        </w:rPr>
        <w:t>(1), 248.</w:t>
      </w:r>
    </w:p>
    <w:p w14:paraId="0D4FDD6D"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United Nations Division for Sustainable Development. (2000). Improving governments' role in the promotion of environmental managerial accounting. In </w:t>
      </w:r>
      <w:r>
        <w:rPr>
          <w:rFonts w:ascii="Times New Roman" w:hAnsi="Times New Roman"/>
          <w:i/>
          <w:iCs/>
          <w:noProof/>
          <w:sz w:val="24"/>
          <w:szCs w:val="24"/>
        </w:rPr>
        <w:t xml:space="preserve">United Nations publication </w:t>
      </w:r>
      <w:r>
        <w:rPr>
          <w:rFonts w:ascii="Times New Roman" w:hAnsi="Times New Roman"/>
          <w:noProof/>
          <w:sz w:val="24"/>
          <w:szCs w:val="24"/>
        </w:rPr>
        <w:t>.</w:t>
      </w:r>
    </w:p>
    <w:p w14:paraId="4BEE49D5"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Yusup, F., Studi, P., Biology, T., Islam, U., &amp; Antasari, N. (2018). </w:t>
      </w:r>
      <w:r>
        <w:rPr>
          <w:rFonts w:ascii="Times New Roman" w:hAnsi="Times New Roman"/>
          <w:i/>
          <w:iCs/>
          <w:noProof/>
          <w:sz w:val="24"/>
          <w:szCs w:val="24"/>
        </w:rPr>
        <w:t xml:space="preserve">VALIDITY AND RELIABILITY TEST </w:t>
      </w:r>
      <w:r>
        <w:rPr>
          <w:rFonts w:ascii="Times New Roman" w:hAnsi="Times New Roman"/>
          <w:noProof/>
          <w:sz w:val="24"/>
          <w:szCs w:val="24"/>
        </w:rPr>
        <w:t xml:space="preserve">. </w:t>
      </w:r>
      <w:r>
        <w:rPr>
          <w:rFonts w:ascii="Times New Roman" w:hAnsi="Times New Roman"/>
          <w:i/>
          <w:iCs/>
          <w:noProof/>
          <w:sz w:val="24"/>
          <w:szCs w:val="24"/>
        </w:rPr>
        <w:t xml:space="preserve">7 </w:t>
      </w:r>
      <w:r>
        <w:rPr>
          <w:rFonts w:ascii="Times New Roman" w:hAnsi="Times New Roman"/>
          <w:noProof/>
          <w:sz w:val="24"/>
          <w:szCs w:val="24"/>
        </w:rPr>
        <w:t>(1), 17–23.</w:t>
      </w:r>
    </w:p>
    <w:p w14:paraId="0F9342CE"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Zaleha, S., Rasid, A., &amp; Isa, CR (nd). </w:t>
      </w:r>
      <w:r>
        <w:rPr>
          <w:rFonts w:ascii="Times New Roman" w:hAnsi="Times New Roman"/>
          <w:i/>
          <w:iCs/>
          <w:noProof/>
          <w:sz w:val="24"/>
          <w:szCs w:val="24"/>
        </w:rPr>
        <w:t xml:space="preserve">Management accounting systems, enterprise risk management and organizational performance in financial institutions </w:t>
      </w:r>
      <w:r>
        <w:rPr>
          <w:rFonts w:ascii="Times New Roman" w:hAnsi="Times New Roman"/>
          <w:noProof/>
          <w:sz w:val="24"/>
          <w:szCs w:val="24"/>
        </w:rPr>
        <w:t>. https://doi.org/10.1108/ARA-03-2013-0022</w:t>
      </w:r>
    </w:p>
    <w:p w14:paraId="1F7684D2"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Zulhaimi, H. (2015). The Effect of Implementing Green Accounting on Company Performance. </w:t>
      </w:r>
      <w:r>
        <w:rPr>
          <w:rFonts w:ascii="Times New Roman" w:hAnsi="Times New Roman"/>
          <w:i/>
          <w:iCs/>
          <w:noProof/>
          <w:sz w:val="24"/>
          <w:szCs w:val="24"/>
        </w:rPr>
        <w:t xml:space="preserve">Journal of Accounting and Finance Research </w:t>
      </w:r>
      <w:r>
        <w:rPr>
          <w:rFonts w:ascii="Times New Roman" w:hAnsi="Times New Roman"/>
          <w:noProof/>
          <w:sz w:val="24"/>
          <w:szCs w:val="24"/>
        </w:rPr>
        <w:t xml:space="preserve">, </w:t>
      </w:r>
      <w:r>
        <w:rPr>
          <w:rFonts w:ascii="Times New Roman" w:hAnsi="Times New Roman"/>
          <w:i/>
          <w:iCs/>
          <w:noProof/>
          <w:sz w:val="24"/>
          <w:szCs w:val="24"/>
        </w:rPr>
        <w:t xml:space="preserve">3 </w:t>
      </w:r>
      <w:r>
        <w:rPr>
          <w:rFonts w:ascii="Times New Roman" w:hAnsi="Times New Roman"/>
          <w:noProof/>
          <w:sz w:val="24"/>
          <w:szCs w:val="24"/>
        </w:rPr>
        <w:t>(1), 603. https://doi.org/10.17509/jrak.v3i1.6607</w:t>
      </w:r>
    </w:p>
    <w:p w14:paraId="20D237AB" w14:textId="77777777" w:rsidR="00852C70" w:rsidRDefault="000A1714">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Zuriana, C., Jamil, M., Mohamed, R., Muhammad, F., &amp; Ali, A. (2015). Environmental management accounting practices in small medium manufacturing firms. </w:t>
      </w:r>
      <w:r>
        <w:rPr>
          <w:rFonts w:ascii="Times New Roman" w:hAnsi="Times New Roman"/>
          <w:i/>
          <w:iCs/>
          <w:noProof/>
          <w:sz w:val="24"/>
          <w:szCs w:val="24"/>
        </w:rPr>
        <w:t>Procedia - Social and Behavioral Sciences</w:t>
      </w:r>
      <w:r>
        <w:rPr>
          <w:rFonts w:ascii="Times New Roman" w:hAnsi="Times New Roman"/>
          <w:noProof/>
          <w:sz w:val="24"/>
          <w:szCs w:val="24"/>
        </w:rPr>
        <w:t xml:space="preserve">, </w:t>
      </w:r>
      <w:r>
        <w:rPr>
          <w:rFonts w:ascii="Times New Roman" w:hAnsi="Times New Roman"/>
          <w:i/>
          <w:iCs/>
          <w:noProof/>
          <w:sz w:val="24"/>
          <w:szCs w:val="24"/>
        </w:rPr>
        <w:t>172</w:t>
      </w:r>
      <w:r>
        <w:rPr>
          <w:rFonts w:ascii="Times New Roman" w:hAnsi="Times New Roman"/>
          <w:noProof/>
          <w:sz w:val="24"/>
          <w:szCs w:val="24"/>
        </w:rPr>
        <w:t>, 619–626. https://doi.org/10.1016/j.sbspro.2015.01.411</w:t>
      </w:r>
    </w:p>
    <w:p w14:paraId="3BAE6A9F" w14:textId="77777777" w:rsidR="00DE785E" w:rsidRDefault="00DE785E">
      <w:pPr>
        <w:widowControl w:val="0"/>
        <w:autoSpaceDE w:val="0"/>
        <w:autoSpaceDN w:val="0"/>
        <w:adjustRightInd w:val="0"/>
        <w:spacing w:line="240" w:lineRule="auto"/>
        <w:ind w:left="480" w:hanging="480"/>
        <w:jc w:val="both"/>
        <w:rPr>
          <w:rFonts w:ascii="Times New Roman" w:hAnsi="Times New Roman"/>
          <w:noProof/>
          <w:sz w:val="24"/>
        </w:rPr>
      </w:pPr>
    </w:p>
    <w:p w14:paraId="2D3D24E3" w14:textId="77777777" w:rsidR="00DE785E" w:rsidRDefault="00DE785E">
      <w:pPr>
        <w:widowControl w:val="0"/>
        <w:autoSpaceDE w:val="0"/>
        <w:autoSpaceDN w:val="0"/>
        <w:adjustRightInd w:val="0"/>
        <w:spacing w:line="240" w:lineRule="auto"/>
        <w:ind w:left="480" w:hanging="480"/>
        <w:jc w:val="both"/>
        <w:rPr>
          <w:rFonts w:ascii="Times New Roman" w:hAnsi="Times New Roman"/>
          <w:noProof/>
          <w:sz w:val="24"/>
        </w:rPr>
      </w:pPr>
    </w:p>
    <w:p w14:paraId="1DBCEB1D" w14:textId="77777777" w:rsidR="00DE785E" w:rsidRDefault="00DE785E">
      <w:pPr>
        <w:widowControl w:val="0"/>
        <w:autoSpaceDE w:val="0"/>
        <w:autoSpaceDN w:val="0"/>
        <w:adjustRightInd w:val="0"/>
        <w:spacing w:line="240" w:lineRule="auto"/>
        <w:ind w:left="480" w:hanging="480"/>
        <w:jc w:val="both"/>
        <w:rPr>
          <w:rFonts w:ascii="Times New Roman" w:hAnsi="Times New Roman"/>
          <w:noProof/>
          <w:sz w:val="24"/>
        </w:rPr>
      </w:pPr>
    </w:p>
    <w:p w14:paraId="7394786C" w14:textId="77777777" w:rsidR="00852C70" w:rsidRPr="00DE785E" w:rsidRDefault="000A1714" w:rsidP="005C4F21">
      <w:pPr>
        <w:jc w:val="both"/>
        <w:rPr>
          <w:rFonts w:ascii="Times New Roman" w:hAnsi="Times New Roman"/>
          <w:sz w:val="24"/>
          <w:szCs w:val="24"/>
        </w:rPr>
      </w:pPr>
      <w:r>
        <w:rPr>
          <w:rFonts w:ascii="Times New Roman" w:hAnsi="Times New Roman"/>
          <w:sz w:val="24"/>
          <w:szCs w:val="24"/>
        </w:rPr>
        <w:fldChar w:fldCharType="end"/>
      </w:r>
    </w:p>
    <w:sectPr w:rsidR="00852C70" w:rsidRPr="00DE785E" w:rsidSect="005C4F21">
      <w:footerReference w:type="default" r:id="rId15"/>
      <w:pgSz w:w="11920" w:h="16840"/>
      <w:pgMar w:top="1701" w:right="1134" w:bottom="1134" w:left="1701" w:header="0" w:footer="128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59E3" w14:textId="77777777" w:rsidR="008E0D38" w:rsidRDefault="008E0D38">
      <w:pPr>
        <w:spacing w:after="0" w:line="240" w:lineRule="auto"/>
      </w:pPr>
      <w:r>
        <w:separator/>
      </w:r>
    </w:p>
  </w:endnote>
  <w:endnote w:type="continuationSeparator" w:id="0">
    <w:p w14:paraId="79A676D8" w14:textId="77777777" w:rsidR="008E0D38" w:rsidRDefault="008E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35090"/>
      <w:docPartObj>
        <w:docPartGallery w:val="Page Numbers (Bottom of Page)"/>
        <w:docPartUnique/>
      </w:docPartObj>
    </w:sdtPr>
    <w:sdtEndPr>
      <w:rPr>
        <w:noProof/>
      </w:rPr>
    </w:sdtEndPr>
    <w:sdtContent>
      <w:p w14:paraId="1DE7AA99" w14:textId="77777777" w:rsidR="005C4F21" w:rsidRDefault="005C4F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8709E" w14:textId="77777777" w:rsidR="000A1714" w:rsidRDefault="000A1714" w:rsidP="005C4F21">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D58E" w14:textId="77777777" w:rsidR="008E0D38" w:rsidRDefault="008E0D38">
      <w:pPr>
        <w:spacing w:after="0" w:line="240" w:lineRule="auto"/>
      </w:pPr>
      <w:r>
        <w:separator/>
      </w:r>
    </w:p>
  </w:footnote>
  <w:footnote w:type="continuationSeparator" w:id="0">
    <w:p w14:paraId="4DB73096" w14:textId="77777777" w:rsidR="008E0D38" w:rsidRDefault="008E0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61CD1AA"/>
    <w:lvl w:ilvl="0" w:tplc="6812E3B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0000002"/>
    <w:multiLevelType w:val="hybridMultilevel"/>
    <w:tmpl w:val="201E8B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0000004"/>
    <w:multiLevelType w:val="hybridMultilevel"/>
    <w:tmpl w:val="93883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86DE74C2"/>
    <w:lvl w:ilvl="0" w:tplc="5F42F1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00000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07"/>
    <w:multiLevelType w:val="hybridMultilevel"/>
    <w:tmpl w:val="3A320A32"/>
    <w:lvl w:ilvl="0" w:tplc="A9C096C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0000008"/>
    <w:multiLevelType w:val="hybridMultilevel"/>
    <w:tmpl w:val="F93E666E"/>
    <w:lvl w:ilvl="0" w:tplc="6396F444">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EE7A6D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hybridMultilevel"/>
    <w:tmpl w:val="0E30C37A"/>
    <w:lvl w:ilvl="0" w:tplc="BEAE90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0000000B"/>
    <w:multiLevelType w:val="hybridMultilevel"/>
    <w:tmpl w:val="548E5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05104"/>
    <w:multiLevelType w:val="hybridMultilevel"/>
    <w:tmpl w:val="30023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020360">
    <w:abstractNumId w:val="1"/>
  </w:num>
  <w:num w:numId="2" w16cid:durableId="712535099">
    <w:abstractNumId w:val="8"/>
  </w:num>
  <w:num w:numId="3" w16cid:durableId="1922254245">
    <w:abstractNumId w:val="4"/>
  </w:num>
  <w:num w:numId="4" w16cid:durableId="2089958315">
    <w:abstractNumId w:val="9"/>
  </w:num>
  <w:num w:numId="5" w16cid:durableId="799228495">
    <w:abstractNumId w:val="6"/>
  </w:num>
  <w:num w:numId="6" w16cid:durableId="409930940">
    <w:abstractNumId w:val="0"/>
  </w:num>
  <w:num w:numId="7" w16cid:durableId="355809441">
    <w:abstractNumId w:val="2"/>
  </w:num>
  <w:num w:numId="8" w16cid:durableId="1258756342">
    <w:abstractNumId w:val="7"/>
  </w:num>
  <w:num w:numId="9" w16cid:durableId="2016490973">
    <w:abstractNumId w:val="5"/>
  </w:num>
  <w:num w:numId="10" w16cid:durableId="1966814307">
    <w:abstractNumId w:val="10"/>
  </w:num>
  <w:num w:numId="11" w16cid:durableId="1914578776">
    <w:abstractNumId w:val="11"/>
  </w:num>
  <w:num w:numId="12" w16cid:durableId="2008442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70"/>
    <w:rsid w:val="000A1714"/>
    <w:rsid w:val="000B17A9"/>
    <w:rsid w:val="00250FE4"/>
    <w:rsid w:val="00493A60"/>
    <w:rsid w:val="0059798F"/>
    <w:rsid w:val="005C29C1"/>
    <w:rsid w:val="005C4F21"/>
    <w:rsid w:val="00852C70"/>
    <w:rsid w:val="008D08E9"/>
    <w:rsid w:val="008E0D38"/>
    <w:rsid w:val="00910258"/>
    <w:rsid w:val="00983B33"/>
    <w:rsid w:val="00A958DF"/>
    <w:rsid w:val="00B23654"/>
    <w:rsid w:val="00B403A5"/>
    <w:rsid w:val="00B41C97"/>
    <w:rsid w:val="00B65E81"/>
    <w:rsid w:val="00DE785E"/>
    <w:rsid w:val="00DF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6C9ED2"/>
  <w15:docId w15:val="{EE9F5142-20E5-472C-9EB8-4DF4856A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eastAsia="id-ID"/>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val="en"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lang w:val="en" w:eastAsia="en-U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link w:val="BalloonText"/>
    <w:uiPriority w:val="99"/>
    <w:rPr>
      <w:rFonts w:ascii="Segoe UI" w:hAnsi="Segoe UI" w:cs="Segoe UI"/>
      <w:sz w:val="18"/>
      <w:szCs w:val="18"/>
      <w:lang w:val="en"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qFormat/>
    <w:pPr>
      <w:spacing w:after="0"/>
    </w:pPr>
    <w:rPr>
      <w:rFonts w:ascii="Times New Roman" w:hAnsi="Times New Roman"/>
      <w:sz w:val="21"/>
      <w:lang w:eastAsia="zh-CN"/>
    </w:rPr>
  </w:style>
  <w:style w:type="character" w:customStyle="1" w:styleId="BodyTextChar">
    <w:name w:val="Body Text Char"/>
    <w:link w:val="BodyText"/>
    <w:rPr>
      <w:rFonts w:ascii="Times New Roman" w:hAnsi="Times New Roman"/>
      <w:sz w:val="21"/>
      <w:szCs w:val="22"/>
      <w:lang w:val="en" w:eastAsia="zh-CN"/>
    </w:rPr>
  </w:style>
  <w:style w:type="paragraph" w:styleId="Header">
    <w:name w:val="header"/>
    <w:basedOn w:val="Normal"/>
    <w:link w:val="HeaderChar"/>
    <w:uiPriority w:val="99"/>
    <w:unhideWhenUsed/>
    <w:rsid w:val="00597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98F"/>
    <w:rPr>
      <w:sz w:val="22"/>
      <w:szCs w:val="22"/>
    </w:rPr>
  </w:style>
  <w:style w:type="paragraph" w:styleId="Footer">
    <w:name w:val="footer"/>
    <w:basedOn w:val="Normal"/>
    <w:link w:val="FooterChar"/>
    <w:uiPriority w:val="99"/>
    <w:unhideWhenUsed/>
    <w:rsid w:val="00597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98F"/>
    <w:rPr>
      <w:sz w:val="22"/>
      <w:szCs w:val="22"/>
    </w:rPr>
  </w:style>
  <w:style w:type="character" w:styleId="UnresolvedMention">
    <w:name w:val="Unresolved Mention"/>
    <w:basedOn w:val="DefaultParagraphFont"/>
    <w:uiPriority w:val="99"/>
    <w:semiHidden/>
    <w:unhideWhenUsed/>
    <w:rsid w:val="0091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sekarayu@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figure/General-Model-for-Accounting-Information-Systems-Data-Resources-These-are-data_fig1_25401489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zzaty33@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C32D-FD22-4885-975F-395AF699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33133</Words>
  <Characters>188864</Characters>
  <Application>Microsoft Office Word</Application>
  <DocSecurity>0</DocSecurity>
  <Lines>1573</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Kholida</cp:lastModifiedBy>
  <cp:revision>2</cp:revision>
  <dcterms:created xsi:type="dcterms:W3CDTF">2024-05-14T12:35:00Z</dcterms:created>
  <dcterms:modified xsi:type="dcterms:W3CDTF">2024-05-14T12:35:00Z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ad6d150f-56de-34bf-9fe0-5c4acc9c71e9</vt:lpwstr>
  </property>
  <property fmtid="{D5CDD505-2E9C-101B-9397-08002B2CF9AE}" pid="24" name="Mendeley Citation Style_1">
    <vt:lpwstr>http://www.zotero.org/styles/apa</vt:lpwstr>
  </property>
</Properties>
</file>