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0"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09"/>
        <w:gridCol w:w="5140"/>
        <w:gridCol w:w="1784"/>
      </w:tblGrid>
      <w:tr w:rsidR="00F047C4" w14:paraId="69AB7077" w14:textId="77777777" w:rsidTr="001B5598">
        <w:tc>
          <w:tcPr>
            <w:tcW w:w="1276" w:type="dxa"/>
            <w:tcBorders>
              <w:top w:val="single" w:sz="4" w:space="0" w:color="auto"/>
              <w:left w:val="nil"/>
              <w:bottom w:val="single" w:sz="18" w:space="0" w:color="auto"/>
              <w:right w:val="nil"/>
            </w:tcBorders>
            <w:vAlign w:val="center"/>
          </w:tcPr>
          <w:p w14:paraId="43C91551" w14:textId="77777777" w:rsidR="00F047C4" w:rsidRDefault="00F047C4" w:rsidP="001B5598">
            <w:pPr>
              <w:pStyle w:val="BasicParagraph"/>
              <w:spacing w:line="240" w:lineRule="auto"/>
              <w:jc w:val="both"/>
              <w:rPr>
                <w:rFonts w:cs="Times New Roman"/>
                <w:b/>
                <w:bCs/>
              </w:rPr>
            </w:pPr>
            <w:bookmarkStart w:id="0" w:name="_Toc523302771"/>
          </w:p>
        </w:tc>
        <w:tc>
          <w:tcPr>
            <w:tcW w:w="7629" w:type="dxa"/>
            <w:gridSpan w:val="3"/>
            <w:tcBorders>
              <w:top w:val="single" w:sz="4" w:space="0" w:color="auto"/>
              <w:left w:val="nil"/>
              <w:bottom w:val="single" w:sz="18" w:space="0" w:color="auto"/>
              <w:right w:val="nil"/>
            </w:tcBorders>
            <w:shd w:val="clear" w:color="auto" w:fill="F2F2F2"/>
          </w:tcPr>
          <w:p w14:paraId="14439C18" w14:textId="77777777" w:rsidR="00F047C4" w:rsidRDefault="00F047C4" w:rsidP="001B5598">
            <w:pPr>
              <w:pStyle w:val="BasicParagraph"/>
              <w:spacing w:line="240" w:lineRule="auto"/>
              <w:jc w:val="both"/>
              <w:rPr>
                <w:rFonts w:ascii="Minion Pro" w:hAnsi="Minion Pro" w:cs="Minion Pro"/>
                <w:sz w:val="8"/>
                <w:szCs w:val="16"/>
              </w:rPr>
            </w:pPr>
          </w:p>
          <w:p w14:paraId="00C80C21" w14:textId="74FFA438" w:rsidR="00F047C4" w:rsidRPr="00B82E36" w:rsidRDefault="00F047C4" w:rsidP="001B5598">
            <w:pPr>
              <w:pStyle w:val="BasicParagraph"/>
              <w:spacing w:line="240" w:lineRule="auto"/>
              <w:jc w:val="center"/>
              <w:rPr>
                <w:rFonts w:ascii="Minion Pro" w:hAnsi="Minion Pro" w:cs="Minion Pro"/>
                <w:sz w:val="16"/>
                <w:szCs w:val="16"/>
                <w:lang w:val="id-ID"/>
              </w:rPr>
            </w:pPr>
            <w:r>
              <w:rPr>
                <w:rFonts w:ascii="Minion Pro" w:hAnsi="Minion Pro" w:cs="Minion Pro"/>
                <w:sz w:val="16"/>
                <w:szCs w:val="16"/>
              </w:rPr>
              <w:t xml:space="preserve">IJATB Vol. </w:t>
            </w:r>
            <w:r w:rsidR="00FA452C">
              <w:rPr>
                <w:rFonts w:ascii="Minion Pro" w:hAnsi="Minion Pro" w:cs="Minion Pro"/>
                <w:sz w:val="16"/>
                <w:szCs w:val="16"/>
                <w:lang w:val="en-US"/>
              </w:rPr>
              <w:t>3</w:t>
            </w:r>
            <w:r>
              <w:rPr>
                <w:rFonts w:ascii="Minion Pro" w:hAnsi="Minion Pro" w:cs="Minion Pro"/>
                <w:sz w:val="16"/>
                <w:szCs w:val="16"/>
              </w:rPr>
              <w:t xml:space="preserve">, No. </w:t>
            </w:r>
            <w:r>
              <w:rPr>
                <w:rFonts w:ascii="Minion Pro" w:hAnsi="Minion Pro" w:cs="Minion Pro"/>
                <w:sz w:val="16"/>
                <w:szCs w:val="16"/>
                <w:lang w:val="en-US"/>
              </w:rPr>
              <w:t>1</w:t>
            </w:r>
            <w:r>
              <w:rPr>
                <w:rFonts w:ascii="Minion Pro" w:hAnsi="Minion Pro" w:cs="Minion Pro"/>
                <w:sz w:val="16"/>
                <w:szCs w:val="16"/>
              </w:rPr>
              <w:t>, 20</w:t>
            </w:r>
            <w:r>
              <w:rPr>
                <w:rFonts w:ascii="Minion Pro" w:hAnsi="Minion Pro" w:cs="Minion Pro"/>
                <w:sz w:val="16"/>
                <w:szCs w:val="16"/>
                <w:lang w:val="id-ID"/>
              </w:rPr>
              <w:t>21</w:t>
            </w:r>
          </w:p>
          <w:p w14:paraId="15860570" w14:textId="77777777" w:rsidR="00F047C4" w:rsidRDefault="00F047C4" w:rsidP="001B5598">
            <w:pPr>
              <w:pStyle w:val="BasicParagraph"/>
              <w:spacing w:line="240" w:lineRule="auto"/>
              <w:jc w:val="center"/>
              <w:rPr>
                <w:b/>
                <w:bCs/>
              </w:rPr>
            </w:pPr>
          </w:p>
          <w:p w14:paraId="518B5D0C" w14:textId="77777777" w:rsidR="00F047C4" w:rsidRDefault="00F047C4" w:rsidP="001B5598">
            <w:pPr>
              <w:pStyle w:val="BasicParagraph"/>
              <w:spacing w:line="240" w:lineRule="auto"/>
              <w:jc w:val="center"/>
              <w:rPr>
                <w:b/>
                <w:bCs/>
                <w:sz w:val="26"/>
                <w:szCs w:val="26"/>
              </w:rPr>
            </w:pPr>
            <w:r>
              <w:rPr>
                <w:b/>
                <w:bCs/>
                <w:noProof/>
                <w:sz w:val="26"/>
                <w:szCs w:val="26"/>
              </w:rPr>
              <w:t>International Journal of</w:t>
            </w:r>
            <w:r>
              <w:rPr>
                <w:b/>
                <w:bCs/>
                <w:sz w:val="26"/>
                <w:szCs w:val="26"/>
              </w:rPr>
              <w:t xml:space="preserve"> Accounting, Taxation, and Business</w:t>
            </w:r>
          </w:p>
          <w:p w14:paraId="6A7D8603" w14:textId="77777777" w:rsidR="00F047C4" w:rsidRDefault="00F047C4" w:rsidP="001B5598">
            <w:pPr>
              <w:pStyle w:val="BasicParagraph"/>
              <w:spacing w:line="240" w:lineRule="auto"/>
              <w:jc w:val="center"/>
              <w:rPr>
                <w:b/>
                <w:bCs/>
              </w:rPr>
            </w:pPr>
          </w:p>
          <w:p w14:paraId="6C8B11C8" w14:textId="77777777" w:rsidR="00F047C4" w:rsidRDefault="00F047C4" w:rsidP="001B5598">
            <w:pPr>
              <w:pStyle w:val="BasicParagraph"/>
              <w:spacing w:line="240" w:lineRule="auto"/>
              <w:jc w:val="center"/>
              <w:rPr>
                <w:rFonts w:ascii="Arno Pro" w:hAnsi="Arno Pro" w:cs="Arno Pro"/>
                <w:sz w:val="18"/>
                <w:szCs w:val="18"/>
              </w:rPr>
            </w:pPr>
            <w:r>
              <w:rPr>
                <w:rFonts w:ascii="Arno Pro" w:hAnsi="Arno Pro" w:cs="Arno Pro"/>
                <w:sz w:val="18"/>
                <w:szCs w:val="18"/>
              </w:rPr>
              <w:t>https://journal.unsika.ac.id/index.php/IJATB</w:t>
            </w:r>
          </w:p>
          <w:p w14:paraId="2E3606B1" w14:textId="77777777" w:rsidR="00F047C4" w:rsidRDefault="00F047C4" w:rsidP="001B5598">
            <w:pPr>
              <w:pStyle w:val="BasicParagraph"/>
              <w:spacing w:line="240" w:lineRule="auto"/>
              <w:jc w:val="both"/>
              <w:rPr>
                <w:rFonts w:cs="Times New Roman"/>
                <w:sz w:val="18"/>
                <w:szCs w:val="18"/>
              </w:rPr>
            </w:pPr>
          </w:p>
        </w:tc>
      </w:tr>
      <w:tr w:rsidR="00F047C4" w14:paraId="5E1FE745" w14:textId="77777777" w:rsidTr="001B5598">
        <w:tc>
          <w:tcPr>
            <w:tcW w:w="8905" w:type="dxa"/>
            <w:gridSpan w:val="4"/>
            <w:tcBorders>
              <w:top w:val="single" w:sz="18" w:space="0" w:color="auto"/>
              <w:left w:val="nil"/>
              <w:bottom w:val="single" w:sz="4" w:space="0" w:color="auto"/>
              <w:right w:val="nil"/>
            </w:tcBorders>
          </w:tcPr>
          <w:p w14:paraId="4C48F3EF" w14:textId="59A93288" w:rsidR="000D7B4C" w:rsidRPr="000D7B4C" w:rsidRDefault="000D7B4C" w:rsidP="000D7B4C">
            <w:pPr>
              <w:pStyle w:val="HTMLPreformatted"/>
              <w:shd w:val="clear" w:color="auto" w:fill="F8F9FA"/>
              <w:spacing w:line="432" w:lineRule="atLeast"/>
              <w:jc w:val="center"/>
              <w:rPr>
                <w:rFonts w:ascii="Times New Roman" w:hAnsi="Times New Roman" w:cs="Times New Roman"/>
                <w:color w:val="202124"/>
                <w:sz w:val="30"/>
                <w:szCs w:val="30"/>
              </w:rPr>
            </w:pPr>
            <w:r w:rsidRPr="000D7B4C">
              <w:rPr>
                <w:rFonts w:ascii="Times New Roman" w:hAnsi="Times New Roman" w:cs="Times New Roman"/>
                <w:b/>
                <w:color w:val="202124"/>
                <w:sz w:val="30"/>
                <w:szCs w:val="30"/>
              </w:rPr>
              <w:t xml:space="preserve">Determinant Tax </w:t>
            </w:r>
            <w:proofErr w:type="spellStart"/>
            <w:r w:rsidRPr="000D7B4C">
              <w:rPr>
                <w:rFonts w:ascii="Times New Roman" w:hAnsi="Times New Roman" w:cs="Times New Roman"/>
                <w:b/>
                <w:color w:val="202124"/>
                <w:sz w:val="30"/>
                <w:szCs w:val="30"/>
              </w:rPr>
              <w:t>Avoindance</w:t>
            </w:r>
            <w:proofErr w:type="spellEnd"/>
            <w:r w:rsidRPr="000D7B4C">
              <w:rPr>
                <w:rFonts w:ascii="Times New Roman" w:hAnsi="Times New Roman" w:cs="Times New Roman"/>
                <w:b/>
                <w:color w:val="202124"/>
                <w:sz w:val="30"/>
                <w:szCs w:val="30"/>
              </w:rPr>
              <w:t xml:space="preserve"> In Indonesia: </w:t>
            </w:r>
          </w:p>
          <w:p w14:paraId="6F30A165" w14:textId="1B705D9D" w:rsidR="000D7B4C" w:rsidRPr="000D7B4C" w:rsidRDefault="000D7B4C" w:rsidP="000D7B4C">
            <w:pPr>
              <w:pStyle w:val="Heading1"/>
              <w:ind w:left="0" w:right="22"/>
              <w:jc w:val="center"/>
              <w:rPr>
                <w:color w:val="202124"/>
                <w:sz w:val="30"/>
                <w:szCs w:val="30"/>
                <w:lang w:val="en-US"/>
              </w:rPr>
            </w:pPr>
            <w:r w:rsidRPr="000D7B4C">
              <w:rPr>
                <w:color w:val="202124"/>
                <w:sz w:val="30"/>
                <w:szCs w:val="30"/>
              </w:rPr>
              <w:t>The Role Of Profitability, Liquidity, And Leverag</w:t>
            </w:r>
            <w:r w:rsidRPr="000D7B4C">
              <w:rPr>
                <w:color w:val="202124"/>
                <w:sz w:val="30"/>
                <w:szCs w:val="30"/>
                <w:lang w:val="en-US"/>
              </w:rPr>
              <w:t>e</w:t>
            </w:r>
          </w:p>
          <w:p w14:paraId="2167EE70" w14:textId="5628C52B" w:rsidR="00F047C4" w:rsidRPr="00913624" w:rsidRDefault="000D7B4C" w:rsidP="00F047C4">
            <w:pPr>
              <w:pStyle w:val="BodyText"/>
              <w:jc w:val="center"/>
              <w:rPr>
                <w:b/>
                <w:lang w:val="en-US"/>
              </w:rPr>
            </w:pPr>
            <w:r>
              <w:rPr>
                <w:b/>
                <w:lang w:val="en-US"/>
              </w:rPr>
              <w:t xml:space="preserve">Novi </w:t>
            </w:r>
            <w:proofErr w:type="spellStart"/>
            <w:r>
              <w:rPr>
                <w:b/>
                <w:lang w:val="en-US"/>
              </w:rPr>
              <w:t>Khoiriawati</w:t>
            </w:r>
            <w:proofErr w:type="spellEnd"/>
            <w:r w:rsidR="00F047C4" w:rsidRPr="00AF441C">
              <w:rPr>
                <w:b/>
              </w:rPr>
              <w:t>*)</w:t>
            </w:r>
          </w:p>
          <w:p w14:paraId="2B331216" w14:textId="36D51275" w:rsidR="00F047C4" w:rsidRPr="000D7B4C" w:rsidRDefault="00F047C4" w:rsidP="00F047C4">
            <w:pPr>
              <w:pStyle w:val="BodyText"/>
              <w:jc w:val="center"/>
              <w:rPr>
                <w:sz w:val="22"/>
                <w:lang w:val="en-US"/>
              </w:rPr>
            </w:pPr>
            <w:proofErr w:type="spellStart"/>
            <w:r w:rsidRPr="006205B5">
              <w:rPr>
                <w:sz w:val="22"/>
              </w:rPr>
              <w:t>Faculty</w:t>
            </w:r>
            <w:proofErr w:type="spellEnd"/>
            <w:r w:rsidRPr="006205B5">
              <w:rPr>
                <w:sz w:val="22"/>
              </w:rPr>
              <w:t xml:space="preserve"> </w:t>
            </w:r>
            <w:proofErr w:type="spellStart"/>
            <w:r w:rsidRPr="006205B5">
              <w:rPr>
                <w:sz w:val="22"/>
              </w:rPr>
              <w:t>of</w:t>
            </w:r>
            <w:proofErr w:type="spellEnd"/>
            <w:r w:rsidRPr="006205B5">
              <w:rPr>
                <w:sz w:val="22"/>
              </w:rPr>
              <w:t xml:space="preserve"> </w:t>
            </w:r>
            <w:r w:rsidR="000D7B4C">
              <w:rPr>
                <w:sz w:val="22"/>
                <w:lang w:val="en-US"/>
              </w:rPr>
              <w:t xml:space="preserve">Islamic </w:t>
            </w:r>
            <w:proofErr w:type="spellStart"/>
            <w:r w:rsidRPr="006205B5">
              <w:rPr>
                <w:sz w:val="22"/>
              </w:rPr>
              <w:t>Economics</w:t>
            </w:r>
            <w:proofErr w:type="spellEnd"/>
            <w:r w:rsidR="000D7B4C">
              <w:rPr>
                <w:sz w:val="22"/>
                <w:lang w:val="en-US"/>
              </w:rPr>
              <w:t xml:space="preserve"> and </w:t>
            </w:r>
            <w:proofErr w:type="spellStart"/>
            <w:r w:rsidR="000D7B4C">
              <w:rPr>
                <w:sz w:val="22"/>
                <w:lang w:val="en-US"/>
              </w:rPr>
              <w:t>Busniness</w:t>
            </w:r>
            <w:proofErr w:type="spellEnd"/>
            <w:r>
              <w:rPr>
                <w:sz w:val="22"/>
                <w:lang w:val="en-US"/>
              </w:rPr>
              <w:t xml:space="preserve">, </w:t>
            </w:r>
            <w:r w:rsidRPr="00AF441C">
              <w:rPr>
                <w:sz w:val="22"/>
              </w:rPr>
              <w:t xml:space="preserve">Universitas </w:t>
            </w:r>
            <w:r w:rsidR="000D7B4C">
              <w:rPr>
                <w:sz w:val="22"/>
                <w:lang w:val="en-US"/>
              </w:rPr>
              <w:t xml:space="preserve">Islam Negeri Sayyid Ali </w:t>
            </w:r>
            <w:proofErr w:type="spellStart"/>
            <w:r w:rsidR="000D7B4C">
              <w:rPr>
                <w:sz w:val="22"/>
                <w:lang w:val="en-US"/>
              </w:rPr>
              <w:t>Rahmatullah</w:t>
            </w:r>
            <w:proofErr w:type="spellEnd"/>
            <w:r w:rsidRPr="00AF441C">
              <w:rPr>
                <w:sz w:val="22"/>
              </w:rPr>
              <w:t xml:space="preserve">, </w:t>
            </w:r>
            <w:proofErr w:type="spellStart"/>
            <w:r w:rsidR="000D7B4C">
              <w:rPr>
                <w:sz w:val="22"/>
                <w:lang w:val="en-US"/>
              </w:rPr>
              <w:t>Tulungagung</w:t>
            </w:r>
            <w:proofErr w:type="spellEnd"/>
          </w:p>
          <w:p w14:paraId="61498FD6" w14:textId="76C3830B" w:rsidR="00F047C4" w:rsidRDefault="00F047C4" w:rsidP="001B5598">
            <w:pPr>
              <w:ind w:right="4"/>
              <w:jc w:val="center"/>
              <w:rPr>
                <w:lang w:val="en-US"/>
              </w:rPr>
            </w:pPr>
            <w:proofErr w:type="spellStart"/>
            <w:r>
              <w:t>Corresponding</w:t>
            </w:r>
            <w:proofErr w:type="spellEnd"/>
            <w:r>
              <w:t xml:space="preserve"> </w:t>
            </w:r>
            <w:proofErr w:type="spellStart"/>
            <w:r>
              <w:t>Author</w:t>
            </w:r>
            <w:proofErr w:type="spellEnd"/>
            <w:r>
              <w:t xml:space="preserve"> : </w:t>
            </w:r>
            <w:proofErr w:type="spellStart"/>
            <w:r w:rsidR="000D7B4C">
              <w:rPr>
                <w:i/>
                <w:lang w:val="en-US"/>
              </w:rPr>
              <w:t>novi_khoiriawati@ymail</w:t>
            </w:r>
            <w:proofErr w:type="spellEnd"/>
            <w:r w:rsidR="000D7B4C">
              <w:rPr>
                <w:i/>
                <w:lang w:val="en-US"/>
              </w:rPr>
              <w:t>.</w:t>
            </w:r>
            <w:proofErr w:type="spellStart"/>
            <w:r w:rsidRPr="00AF441C">
              <w:rPr>
                <w:i/>
              </w:rPr>
              <w:t>com</w:t>
            </w:r>
            <w:proofErr w:type="spellEnd"/>
          </w:p>
        </w:tc>
      </w:tr>
      <w:tr w:rsidR="00F047C4" w14:paraId="55A0D910" w14:textId="77777777" w:rsidTr="001B5598">
        <w:tc>
          <w:tcPr>
            <w:tcW w:w="1985" w:type="dxa"/>
            <w:gridSpan w:val="2"/>
            <w:tcBorders>
              <w:top w:val="single" w:sz="4" w:space="0" w:color="auto"/>
              <w:left w:val="nil"/>
              <w:bottom w:val="single" w:sz="4" w:space="0" w:color="auto"/>
              <w:right w:val="nil"/>
            </w:tcBorders>
          </w:tcPr>
          <w:p w14:paraId="3939951D" w14:textId="23665782" w:rsidR="00F047C4" w:rsidRDefault="00F047C4" w:rsidP="00FA452C">
            <w:pPr>
              <w:rPr>
                <w:i/>
                <w:sz w:val="16"/>
                <w:szCs w:val="16"/>
                <w:lang w:val="en-US"/>
              </w:rPr>
            </w:pPr>
          </w:p>
        </w:tc>
        <w:tc>
          <w:tcPr>
            <w:tcW w:w="6920" w:type="dxa"/>
            <w:gridSpan w:val="2"/>
            <w:tcBorders>
              <w:top w:val="single" w:sz="4" w:space="0" w:color="auto"/>
              <w:left w:val="nil"/>
              <w:bottom w:val="single" w:sz="4" w:space="0" w:color="auto"/>
              <w:right w:val="nil"/>
            </w:tcBorders>
            <w:hideMark/>
          </w:tcPr>
          <w:p w14:paraId="711A50D3" w14:textId="77777777" w:rsidR="00F047C4" w:rsidRDefault="00F047C4" w:rsidP="001B5598">
            <w:pPr>
              <w:rPr>
                <w:rFonts w:ascii="Arno Pro" w:hAnsi="Arno Pro"/>
                <w:sz w:val="28"/>
                <w:szCs w:val="24"/>
              </w:rPr>
            </w:pPr>
            <w:r>
              <w:rPr>
                <w:rFonts w:ascii="Arno Pro" w:hAnsi="Arno Pro"/>
                <w:b/>
                <w:bCs/>
                <w:position w:val="-18"/>
                <w:sz w:val="24"/>
              </w:rPr>
              <w:t>Abstract</w:t>
            </w:r>
          </w:p>
          <w:p w14:paraId="199B9FF2" w14:textId="77777777" w:rsidR="00F047C4" w:rsidRDefault="00F047C4" w:rsidP="00F047C4">
            <w:pPr>
              <w:rPr>
                <w:i/>
                <w:sz w:val="20"/>
              </w:rPr>
            </w:pPr>
            <w:r>
              <w:rPr>
                <w:i/>
                <w:sz w:val="20"/>
              </w:rPr>
              <w:t>__________________________________________________________</w:t>
            </w:r>
          </w:p>
          <w:p w14:paraId="7A2672BD" w14:textId="77777777" w:rsidR="000D7B4C" w:rsidRDefault="000D7B4C" w:rsidP="000D7B4C">
            <w:pPr>
              <w:pStyle w:val="BodyText"/>
              <w:ind w:firstLine="720"/>
              <w:jc w:val="both"/>
            </w:pPr>
            <w:r w:rsidRPr="00634112">
              <w:rPr>
                <w:bCs/>
              </w:rPr>
              <w:t>The study aims to test the effect of profitability, leverage, and liquidity on tax avoidance on companies listed on the Indonesia Stock Exchange. The sample in this study is companies that are members of the property, industrial, and infrastructure sectors as many as 166 companies.  Data collection techniques use financial statement documentation published on the Indonesia Stock Exchange web. Data analysis techniques using multiple linear regression methods</w:t>
            </w:r>
            <w:r w:rsidRPr="00634112">
              <w:rPr>
                <w:bCs/>
                <w:lang w:val="en-US"/>
              </w:rPr>
              <w:t>. The results showed that profitability variables had an effect on tax avoidance. Meanwhile, leverage has no effect on tax avoidance. Liquidity negatively affects tax avoidance.  The magnitude of the influence of independent variables on dependents is 0.660. The results of this study are expected to contribute to the Directorate General of Taxes for policy making that is able to reduce tax avoidance carried out by corporate taxpayers</w:t>
            </w:r>
            <w:r w:rsidR="00F047C4" w:rsidRPr="0021158F">
              <w:t>.</w:t>
            </w:r>
          </w:p>
          <w:p w14:paraId="0253D2F8" w14:textId="44408476" w:rsidR="00F047C4" w:rsidRPr="000D7B4C" w:rsidRDefault="00F047C4" w:rsidP="000D7B4C">
            <w:pPr>
              <w:pStyle w:val="BodyText"/>
              <w:ind w:firstLine="720"/>
              <w:jc w:val="both"/>
              <w:rPr>
                <w:bCs/>
                <w:lang w:val="en-US"/>
              </w:rPr>
            </w:pPr>
            <w:r>
              <w:t xml:space="preserve"> </w:t>
            </w:r>
          </w:p>
          <w:p w14:paraId="64D13594" w14:textId="3BC37748" w:rsidR="00F047C4" w:rsidRPr="00F047C4" w:rsidRDefault="00F047C4" w:rsidP="00F047C4">
            <w:pPr>
              <w:pStyle w:val="BodyText"/>
              <w:jc w:val="both"/>
            </w:pPr>
            <w:r>
              <w:t xml:space="preserve">Keywords : </w:t>
            </w:r>
            <w:r w:rsidR="000D7B4C" w:rsidRPr="000D7B4C">
              <w:rPr>
                <w:rStyle w:val="1"/>
                <w:rFonts w:eastAsiaTheme="minorEastAsia"/>
                <w:b w:val="0"/>
                <w:bCs/>
                <w:sz w:val="24"/>
              </w:rPr>
              <w:t>leverage, liquidity, profitability, tax avoidance</w:t>
            </w:r>
          </w:p>
          <w:p w14:paraId="49016587" w14:textId="77777777" w:rsidR="00F047C4" w:rsidRPr="00F047C4" w:rsidRDefault="00F047C4" w:rsidP="00F047C4"/>
        </w:tc>
      </w:tr>
      <w:tr w:rsidR="00F047C4" w14:paraId="2FDE1356" w14:textId="77777777" w:rsidTr="001B5598">
        <w:trPr>
          <w:trHeight w:val="65"/>
        </w:trPr>
        <w:tc>
          <w:tcPr>
            <w:tcW w:w="7122" w:type="dxa"/>
            <w:gridSpan w:val="3"/>
            <w:tcBorders>
              <w:top w:val="single" w:sz="4" w:space="0" w:color="auto"/>
              <w:left w:val="nil"/>
              <w:bottom w:val="single" w:sz="4" w:space="0" w:color="auto"/>
              <w:right w:val="nil"/>
            </w:tcBorders>
            <w:hideMark/>
          </w:tcPr>
          <w:p w14:paraId="16B41FAB" w14:textId="77777777" w:rsidR="00F047C4" w:rsidRDefault="00F047C4" w:rsidP="001B5598">
            <w:pPr>
              <w:pStyle w:val="BasicParagraph"/>
              <w:spacing w:line="240" w:lineRule="auto"/>
              <w:jc w:val="both"/>
              <w:rPr>
                <w:rFonts w:ascii="Arno Pro" w:hAnsi="Arno Pro" w:cs="Arno Pro"/>
                <w:sz w:val="16"/>
                <w:szCs w:val="16"/>
              </w:rPr>
            </w:pPr>
            <w:r>
              <w:rPr>
                <w:rFonts w:ascii="Wingdings" w:hAnsi="Wingdings" w:cs="Wingdings"/>
                <w:sz w:val="16"/>
                <w:szCs w:val="16"/>
                <w:vertAlign w:val="superscript"/>
              </w:rPr>
              <w:t></w:t>
            </w:r>
            <w:r>
              <w:rPr>
                <w:rFonts w:ascii="Arno Pro" w:hAnsi="Arno Pro" w:cs="Arno Pro"/>
                <w:sz w:val="16"/>
                <w:szCs w:val="16"/>
              </w:rPr>
              <w:t>correspondence to :</w:t>
            </w:r>
          </w:p>
          <w:p w14:paraId="172FA955" w14:textId="77777777" w:rsidR="00F047C4" w:rsidRDefault="00F047C4" w:rsidP="001B5598">
            <w:pPr>
              <w:pStyle w:val="BasicParagraph"/>
              <w:spacing w:line="240" w:lineRule="auto"/>
              <w:jc w:val="both"/>
              <w:rPr>
                <w:rFonts w:ascii="Arno Pro" w:hAnsi="Arno Pro" w:cs="Arno Pro"/>
                <w:sz w:val="16"/>
                <w:szCs w:val="16"/>
                <w:lang w:val="en-ID"/>
              </w:rPr>
            </w:pPr>
            <w:r>
              <w:rPr>
                <w:rFonts w:ascii="Arno Pro" w:hAnsi="Arno Pro" w:cs="Arno Pro"/>
                <w:sz w:val="16"/>
                <w:szCs w:val="16"/>
              </w:rPr>
              <w:t xml:space="preserve">   </w:t>
            </w:r>
            <w:r>
              <w:rPr>
                <w:rFonts w:ascii="Arno Pro" w:hAnsi="Arno Pro" w:cs="Arno Pro"/>
                <w:sz w:val="16"/>
                <w:szCs w:val="16"/>
                <w:lang w:val="en-ID"/>
              </w:rPr>
              <w:t>Institutional address:</w:t>
            </w:r>
          </w:p>
          <w:p w14:paraId="1A7FDCED" w14:textId="2149783E" w:rsidR="00F047C4" w:rsidRDefault="00F047C4" w:rsidP="001B5598">
            <w:pPr>
              <w:pStyle w:val="BasicParagraph"/>
              <w:spacing w:line="240" w:lineRule="auto"/>
              <w:jc w:val="both"/>
              <w:rPr>
                <w:rFonts w:ascii="Arno Pro" w:hAnsi="Arno Pro" w:cs="Arno Pro"/>
                <w:sz w:val="16"/>
                <w:szCs w:val="16"/>
              </w:rPr>
            </w:pPr>
            <w:r>
              <w:rPr>
                <w:rFonts w:ascii="Arno Pro" w:hAnsi="Arno Pro" w:cs="Arno Pro"/>
                <w:sz w:val="16"/>
                <w:szCs w:val="16"/>
              </w:rPr>
              <w:t xml:space="preserve">   E-mail: </w:t>
            </w:r>
            <w:r w:rsidR="00FA452C">
              <w:rPr>
                <w:rFonts w:ascii="Arno Pro" w:hAnsi="Arno Pro" w:cs="Arno Pro"/>
                <w:sz w:val="16"/>
                <w:szCs w:val="16"/>
              </w:rPr>
              <w:t>IJATB@unsika.ac.id</w:t>
            </w:r>
          </w:p>
        </w:tc>
        <w:tc>
          <w:tcPr>
            <w:tcW w:w="1783" w:type="dxa"/>
            <w:tcBorders>
              <w:top w:val="single" w:sz="4" w:space="0" w:color="auto"/>
              <w:left w:val="nil"/>
              <w:bottom w:val="single" w:sz="4" w:space="0" w:color="auto"/>
              <w:right w:val="nil"/>
            </w:tcBorders>
            <w:hideMark/>
          </w:tcPr>
          <w:p w14:paraId="500567A1" w14:textId="2EB024F3" w:rsidR="00FA452C" w:rsidRPr="004F7F85" w:rsidRDefault="00FA452C" w:rsidP="00FA452C">
            <w:pPr>
              <w:widowControl/>
              <w:autoSpaceDE/>
              <w:autoSpaceDN/>
              <w:rPr>
                <w:sz w:val="20"/>
                <w:szCs w:val="20"/>
              </w:rPr>
            </w:pPr>
            <w:r w:rsidRPr="004F7F85">
              <w:rPr>
                <w:sz w:val="20"/>
                <w:szCs w:val="20"/>
                <w:lang w:val="en-US"/>
              </w:rPr>
              <w:t>ISSN</w:t>
            </w:r>
            <w:r w:rsidRPr="004F7F85">
              <w:rPr>
                <w:sz w:val="20"/>
                <w:szCs w:val="20"/>
              </w:rPr>
              <w:t xml:space="preserve"> </w:t>
            </w:r>
          </w:p>
          <w:p w14:paraId="247822DC" w14:textId="1BF66899" w:rsidR="00F047C4" w:rsidRPr="00DA6453" w:rsidRDefault="00FA452C" w:rsidP="00FA452C">
            <w:pPr>
              <w:widowControl/>
              <w:autoSpaceDE/>
              <w:autoSpaceDN/>
              <w:rPr>
                <w:sz w:val="18"/>
                <w:szCs w:val="18"/>
                <w:lang w:val="en-US"/>
              </w:rPr>
            </w:pPr>
            <w:r w:rsidRPr="00FA452C">
              <w:rPr>
                <w:sz w:val="18"/>
                <w:szCs w:val="18"/>
              </w:rPr>
              <w:t>2745-9349 (</w:t>
            </w:r>
            <w:proofErr w:type="spellStart"/>
            <w:r w:rsidRPr="00FA452C">
              <w:rPr>
                <w:sz w:val="18"/>
                <w:szCs w:val="18"/>
              </w:rPr>
              <w:t>print</w:t>
            </w:r>
            <w:proofErr w:type="spellEnd"/>
            <w:r w:rsidRPr="00FA452C">
              <w:rPr>
                <w:sz w:val="18"/>
                <w:szCs w:val="18"/>
              </w:rPr>
              <w:t>) 2747-0075 (</w:t>
            </w:r>
            <w:proofErr w:type="spellStart"/>
            <w:r w:rsidRPr="00FA452C">
              <w:rPr>
                <w:sz w:val="18"/>
                <w:szCs w:val="18"/>
              </w:rPr>
              <w:t>online</w:t>
            </w:r>
            <w:proofErr w:type="spellEnd"/>
            <w:r w:rsidR="00DA6453">
              <w:rPr>
                <w:sz w:val="18"/>
                <w:szCs w:val="18"/>
                <w:lang w:val="en-US"/>
              </w:rPr>
              <w:t>)</w:t>
            </w:r>
          </w:p>
        </w:tc>
      </w:tr>
      <w:bookmarkEnd w:id="0"/>
    </w:tbl>
    <w:p w14:paraId="759893AB" w14:textId="77777777" w:rsidR="00C40A65" w:rsidRPr="00AA4F06" w:rsidRDefault="00C40A65" w:rsidP="00C40A65">
      <w:pPr>
        <w:pStyle w:val="BodyText"/>
        <w:jc w:val="both"/>
        <w:sectPr w:rsidR="00C40A65" w:rsidRPr="00AA4F06" w:rsidSect="001B5598">
          <w:footerReference w:type="default" r:id="rId7"/>
          <w:pgSz w:w="11910" w:h="16840"/>
          <w:pgMar w:top="1440" w:right="1440" w:bottom="1440" w:left="1440" w:header="720" w:footer="720" w:gutter="0"/>
          <w:pgNumType w:start="14"/>
          <w:cols w:space="720"/>
          <w:docGrid w:linePitch="299"/>
        </w:sectPr>
      </w:pPr>
    </w:p>
    <w:p w14:paraId="7966079F" w14:textId="433C703E" w:rsidR="001B5598" w:rsidRDefault="00DA379E" w:rsidP="000D7B4C">
      <w:pPr>
        <w:pStyle w:val="Heading1"/>
        <w:numPr>
          <w:ilvl w:val="0"/>
          <w:numId w:val="5"/>
        </w:numPr>
        <w:ind w:left="709" w:right="853" w:hanging="425"/>
        <w:jc w:val="left"/>
      </w:pPr>
      <w:r>
        <w:lastRenderedPageBreak/>
        <w:t>BACKGROUND</w:t>
      </w:r>
    </w:p>
    <w:p w14:paraId="36201442" w14:textId="77777777" w:rsidR="000D7B4C" w:rsidRPr="000D7B4C" w:rsidRDefault="000D7B4C" w:rsidP="000D7B4C">
      <w:pPr>
        <w:ind w:left="360" w:firstLine="633"/>
        <w:jc w:val="both"/>
        <w:rPr>
          <w:sz w:val="24"/>
          <w:szCs w:val="24"/>
        </w:rPr>
      </w:pPr>
      <w:r w:rsidRPr="000D7B4C">
        <w:rPr>
          <w:sz w:val="24"/>
          <w:szCs w:val="24"/>
        </w:rPr>
        <w:t xml:space="preserve">Today, taxes are still one of the sources of state revenue that contributes the most in the State Revenue and Expenditure Budget. As stated in the State Budget from Rp 2,030.7 trillion of state revenue, Rp 1,643 trillion came from tax revenues (BPS, 2020).  Tax revenues will be used to finance </w:t>
      </w:r>
      <w:proofErr w:type="spellStart"/>
      <w:r w:rsidRPr="000D7B4C">
        <w:rPr>
          <w:sz w:val="24"/>
          <w:szCs w:val="24"/>
        </w:rPr>
        <w:t>government</w:t>
      </w:r>
      <w:proofErr w:type="spellEnd"/>
      <w:r w:rsidRPr="000D7B4C">
        <w:rPr>
          <w:sz w:val="24"/>
          <w:szCs w:val="24"/>
        </w:rPr>
        <w:t xml:space="preserve"> </w:t>
      </w:r>
      <w:proofErr w:type="spellStart"/>
      <w:r w:rsidRPr="000D7B4C">
        <w:rPr>
          <w:sz w:val="24"/>
          <w:szCs w:val="24"/>
        </w:rPr>
        <w:t>administration</w:t>
      </w:r>
      <w:proofErr w:type="spellEnd"/>
      <w:r w:rsidRPr="000D7B4C">
        <w:rPr>
          <w:sz w:val="24"/>
          <w:szCs w:val="24"/>
        </w:rPr>
        <w:t xml:space="preserve"> (Ningrum, 2017). Meanwhile, for taxpayers, taxes are one of the burdens that must be borne and paid. The imposition of this tax contains mandatory and binding expenses. Delays in payment and reporting of taxes will have an impact on the imposition of sanctions and fines, to criminal for taxpayers. It is because of this difference that corporate taxpayers try to maximize their tax payments. Efforts to minimize tax payments can be done illegally or legally, one of which is by doing tax avoidance.</w:t>
      </w:r>
    </w:p>
    <w:p w14:paraId="07B5F65B" w14:textId="77777777" w:rsidR="000D7B4C" w:rsidRPr="000D7B4C" w:rsidRDefault="000D7B4C" w:rsidP="000D7B4C">
      <w:pPr>
        <w:ind w:left="360" w:firstLine="633"/>
        <w:jc w:val="both"/>
        <w:rPr>
          <w:color w:val="0D0D0D" w:themeColor="text1" w:themeTint="F2"/>
          <w:sz w:val="24"/>
          <w:szCs w:val="24"/>
        </w:rPr>
      </w:pPr>
      <w:r w:rsidRPr="000D7B4C">
        <w:rPr>
          <w:color w:val="0D0D0D" w:themeColor="text1" w:themeTint="F2"/>
          <w:sz w:val="24"/>
          <w:szCs w:val="24"/>
        </w:rPr>
        <w:t xml:space="preserve">Tax avoidance is a tax avoidance strategy and technique carried out legally and safely for taxpayers because it does not conflict with tax provisions. Tax avoidance that is usually done by companies such as utilizing exemptions and deductions that are allowed or delaying taxes that have not been regulated in applicable tax regulations and usually through policies taken by </w:t>
      </w:r>
      <w:proofErr w:type="spellStart"/>
      <w:r w:rsidRPr="000D7B4C">
        <w:rPr>
          <w:color w:val="0D0D0D" w:themeColor="text1" w:themeTint="F2"/>
          <w:sz w:val="24"/>
          <w:szCs w:val="24"/>
        </w:rPr>
        <w:t>company</w:t>
      </w:r>
      <w:proofErr w:type="spellEnd"/>
      <w:r w:rsidRPr="000D7B4C">
        <w:rPr>
          <w:color w:val="0D0D0D" w:themeColor="text1" w:themeTint="F2"/>
          <w:sz w:val="24"/>
          <w:szCs w:val="24"/>
        </w:rPr>
        <w:t xml:space="preserve"> </w:t>
      </w:r>
      <w:proofErr w:type="spellStart"/>
      <w:r w:rsidRPr="000D7B4C">
        <w:rPr>
          <w:color w:val="0D0D0D" w:themeColor="text1" w:themeTint="F2"/>
          <w:sz w:val="24"/>
          <w:szCs w:val="24"/>
        </w:rPr>
        <w:t>leaders</w:t>
      </w:r>
      <w:proofErr w:type="spellEnd"/>
      <w:r w:rsidRPr="000D7B4C">
        <w:rPr>
          <w:color w:val="0D0D0D" w:themeColor="text1" w:themeTint="F2"/>
          <w:sz w:val="24"/>
          <w:szCs w:val="24"/>
        </w:rPr>
        <w:t xml:space="preserve"> (Dewinta </w:t>
      </w:r>
      <w:proofErr w:type="spellStart"/>
      <w:r w:rsidRPr="000D7B4C">
        <w:rPr>
          <w:color w:val="0D0D0D" w:themeColor="text1" w:themeTint="F2"/>
          <w:sz w:val="24"/>
          <w:szCs w:val="24"/>
        </w:rPr>
        <w:t>and</w:t>
      </w:r>
      <w:proofErr w:type="spellEnd"/>
      <w:r w:rsidRPr="000D7B4C">
        <w:rPr>
          <w:color w:val="0D0D0D" w:themeColor="text1" w:themeTint="F2"/>
          <w:sz w:val="24"/>
          <w:szCs w:val="24"/>
        </w:rPr>
        <w:t xml:space="preserve"> Setiawan, 2016).</w:t>
      </w:r>
    </w:p>
    <w:p w14:paraId="6AB8BFD9" w14:textId="77777777" w:rsidR="000D7B4C" w:rsidRPr="000D7B4C" w:rsidRDefault="000D7B4C" w:rsidP="000D7B4C">
      <w:pPr>
        <w:ind w:left="360" w:firstLine="633"/>
        <w:jc w:val="both"/>
        <w:rPr>
          <w:sz w:val="24"/>
          <w:szCs w:val="24"/>
        </w:rPr>
      </w:pPr>
      <w:r w:rsidRPr="000D7B4C">
        <w:rPr>
          <w:sz w:val="24"/>
          <w:szCs w:val="24"/>
        </w:rPr>
        <w:t>The phenomenon of tax avoidance in Indonesia can be seen from the tax ratio (tax ratio) of the Indonesian state. The tax ratio indicates the government's ability to collect tax revenues. The higher the tax ratio of a country, the better the performance of the country's tax collection. Indonesia's state tax ratio in 2018 only reached 10.3 percent. The ratio indicates that Indonesia's state income derived from taxes has not been optimal. Another phenomenon of tax avoidance in Indonesia is believed to reach Rp. 110 trillion per year. Most business entities, about 80 percent, the rest are individual taxpayers.</w:t>
      </w:r>
    </w:p>
    <w:p w14:paraId="4CA4C9EA" w14:textId="77777777" w:rsidR="000D7B4C" w:rsidRPr="000D7B4C" w:rsidRDefault="000D7B4C" w:rsidP="000D7B4C">
      <w:pPr>
        <w:ind w:left="360" w:firstLine="633"/>
        <w:jc w:val="both"/>
        <w:rPr>
          <w:sz w:val="24"/>
          <w:szCs w:val="24"/>
        </w:rPr>
      </w:pPr>
      <w:r w:rsidRPr="000D7B4C">
        <w:rPr>
          <w:sz w:val="24"/>
          <w:szCs w:val="24"/>
        </w:rPr>
        <w:t xml:space="preserve">One of the tax avoidance cases in Indonesia </w:t>
      </w:r>
      <w:proofErr w:type="spellStart"/>
      <w:r w:rsidRPr="000D7B4C">
        <w:rPr>
          <w:sz w:val="24"/>
          <w:szCs w:val="24"/>
        </w:rPr>
        <w:t>involves</w:t>
      </w:r>
      <w:proofErr w:type="spellEnd"/>
      <w:r w:rsidRPr="000D7B4C">
        <w:rPr>
          <w:sz w:val="24"/>
          <w:szCs w:val="24"/>
        </w:rPr>
        <w:t xml:space="preserve"> PT Bentoel Internasional Investama. PT. Bentoel Internasional Investama </w:t>
      </w:r>
      <w:proofErr w:type="spellStart"/>
      <w:r w:rsidRPr="000D7B4C">
        <w:rPr>
          <w:sz w:val="24"/>
          <w:szCs w:val="24"/>
        </w:rPr>
        <w:t>is</w:t>
      </w:r>
      <w:proofErr w:type="spellEnd"/>
      <w:r w:rsidRPr="000D7B4C">
        <w:rPr>
          <w:sz w:val="24"/>
          <w:szCs w:val="24"/>
        </w:rPr>
        <w:t xml:space="preserve"> the second largest cigarette </w:t>
      </w:r>
      <w:proofErr w:type="spellStart"/>
      <w:r w:rsidRPr="000D7B4C">
        <w:rPr>
          <w:sz w:val="24"/>
          <w:szCs w:val="24"/>
        </w:rPr>
        <w:t>company</w:t>
      </w:r>
      <w:proofErr w:type="spellEnd"/>
      <w:r w:rsidRPr="000D7B4C">
        <w:rPr>
          <w:sz w:val="24"/>
          <w:szCs w:val="24"/>
        </w:rPr>
        <w:t xml:space="preserve"> </w:t>
      </w:r>
      <w:proofErr w:type="spellStart"/>
      <w:r w:rsidRPr="000D7B4C">
        <w:rPr>
          <w:sz w:val="24"/>
          <w:szCs w:val="24"/>
        </w:rPr>
        <w:t>after</w:t>
      </w:r>
      <w:proofErr w:type="spellEnd"/>
      <w:r w:rsidRPr="000D7B4C">
        <w:rPr>
          <w:sz w:val="24"/>
          <w:szCs w:val="24"/>
        </w:rPr>
        <w:t xml:space="preserve"> HM Sampoerna in Indonesia. According to a report from the Tax Justice Network on Wednesday, May 8, 2019, the tobacco company owned by British American Tobacco (BAT) carried out tax </w:t>
      </w:r>
      <w:proofErr w:type="spellStart"/>
      <w:r w:rsidRPr="000D7B4C">
        <w:rPr>
          <w:sz w:val="24"/>
          <w:szCs w:val="24"/>
        </w:rPr>
        <w:t>evasion</w:t>
      </w:r>
      <w:proofErr w:type="spellEnd"/>
      <w:r w:rsidRPr="000D7B4C">
        <w:rPr>
          <w:sz w:val="24"/>
          <w:szCs w:val="24"/>
        </w:rPr>
        <w:t xml:space="preserve"> </w:t>
      </w:r>
      <w:proofErr w:type="spellStart"/>
      <w:r w:rsidRPr="000D7B4C">
        <w:rPr>
          <w:sz w:val="24"/>
          <w:szCs w:val="24"/>
        </w:rPr>
        <w:t>through</w:t>
      </w:r>
      <w:proofErr w:type="spellEnd"/>
      <w:r w:rsidRPr="000D7B4C">
        <w:rPr>
          <w:sz w:val="24"/>
          <w:szCs w:val="24"/>
        </w:rPr>
        <w:t xml:space="preserve"> PT Bentoel Internasional Investama </w:t>
      </w:r>
      <w:proofErr w:type="spellStart"/>
      <w:r w:rsidRPr="000D7B4C">
        <w:rPr>
          <w:sz w:val="24"/>
          <w:szCs w:val="24"/>
        </w:rPr>
        <w:t>by</w:t>
      </w:r>
      <w:proofErr w:type="spellEnd"/>
      <w:r w:rsidRPr="000D7B4C">
        <w:rPr>
          <w:sz w:val="24"/>
          <w:szCs w:val="24"/>
        </w:rPr>
        <w:t xml:space="preserve"> taking a lot of debt between 2013 and 2015 from an affiliated company in the Netherlands, Rothmans Far East BV to refinance bank debt and pay for machinery and equipment. Interest payments paid will reduce taxable income in Indonesia, so that the taxes paid become less as a result of which the country can suffer losses of US $ 14 million per year (kontan.co.id, 2019).</w:t>
      </w:r>
    </w:p>
    <w:p w14:paraId="68E2E6EE" w14:textId="77777777" w:rsidR="000D7B4C" w:rsidRPr="000D7B4C" w:rsidRDefault="000D7B4C" w:rsidP="000D7B4C">
      <w:pPr>
        <w:ind w:left="360" w:firstLine="633"/>
        <w:jc w:val="both"/>
        <w:rPr>
          <w:color w:val="0D0D0D" w:themeColor="text1" w:themeTint="F2"/>
          <w:sz w:val="24"/>
          <w:szCs w:val="24"/>
        </w:rPr>
      </w:pPr>
      <w:r w:rsidRPr="000D7B4C">
        <w:rPr>
          <w:color w:val="0D0D0D" w:themeColor="text1" w:themeTint="F2"/>
          <w:sz w:val="24"/>
          <w:szCs w:val="24"/>
        </w:rPr>
        <w:t>There are several factors that can affect tax avoidance, namely profitability, liquidity, and leverage. Profitability is a ratio that describes a company's ability to make a profit. The higher the profitability value, the higher the company's ability to make a profit. The ability of high profitability will attract potential investors to invest by buying stocks. However, the amount of profit earned by the company resulted in a large tax burden borne by the company. This will make the company consider whether they are really willing to pay high taxes to the state.</w:t>
      </w:r>
    </w:p>
    <w:p w14:paraId="63C218E4" w14:textId="77777777" w:rsidR="000D7B4C" w:rsidRPr="000D7B4C" w:rsidRDefault="000D7B4C" w:rsidP="000D7B4C">
      <w:pPr>
        <w:ind w:left="360" w:firstLine="633"/>
        <w:jc w:val="both"/>
        <w:rPr>
          <w:color w:val="0D0D0D" w:themeColor="text1" w:themeTint="F2"/>
          <w:sz w:val="24"/>
          <w:szCs w:val="24"/>
        </w:rPr>
      </w:pPr>
      <w:r w:rsidRPr="000D7B4C">
        <w:rPr>
          <w:color w:val="0D0D0D" w:themeColor="text1" w:themeTint="F2"/>
          <w:sz w:val="24"/>
          <w:szCs w:val="24"/>
        </w:rPr>
        <w:t>Liquidity is a ratio that describes the company's ability to pay its current debt. The higher the value of the liquidity ratio, the higher the company's ability to pay its current debt. Good liquidity conditions, will make it easier for companies to pay debts and installments, one of which is tax installments. Thus, companies with high liquidity, will more easily pay taxes than companies with low liquidity.</w:t>
      </w:r>
    </w:p>
    <w:p w14:paraId="2841DA44" w14:textId="77777777" w:rsidR="000D7B4C" w:rsidRPr="000D7B4C" w:rsidRDefault="000D7B4C" w:rsidP="000D7B4C">
      <w:pPr>
        <w:ind w:left="360" w:firstLine="633"/>
        <w:jc w:val="both"/>
        <w:rPr>
          <w:color w:val="0D0D0D" w:themeColor="text1" w:themeTint="F2"/>
          <w:sz w:val="24"/>
          <w:szCs w:val="24"/>
        </w:rPr>
      </w:pPr>
      <w:r w:rsidRPr="000D7B4C">
        <w:rPr>
          <w:color w:val="0D0D0D" w:themeColor="text1" w:themeTint="F2"/>
          <w:sz w:val="24"/>
          <w:szCs w:val="24"/>
        </w:rPr>
        <w:t xml:space="preserve">Meanwhile, leverage is a ratio that shows a comparison of the use of debt rather than equity or assets owned. The higher the leverage indicates the higher the company's obligation to pay principal and interest on the loan. Nevertheless, the interest on this loan can be deducted in the calculation of profit or loss as deductible expense. The greater the interest expense borne by the company, the lower the profit earned. Thus, the tax burden </w:t>
      </w:r>
      <w:r w:rsidRPr="000D7B4C">
        <w:rPr>
          <w:color w:val="0D0D0D" w:themeColor="text1" w:themeTint="F2"/>
          <w:sz w:val="24"/>
          <w:szCs w:val="24"/>
        </w:rPr>
        <w:lastRenderedPageBreak/>
        <w:t>borne will also be lower.</w:t>
      </w:r>
    </w:p>
    <w:p w14:paraId="00AADE55" w14:textId="37CB576C" w:rsidR="000D7B4C" w:rsidRPr="000D7B4C" w:rsidRDefault="000D7B4C" w:rsidP="000D7B4C">
      <w:pPr>
        <w:ind w:left="360" w:firstLine="633"/>
        <w:jc w:val="both"/>
        <w:rPr>
          <w:color w:val="0D0D0D" w:themeColor="text1" w:themeTint="F2"/>
          <w:sz w:val="24"/>
          <w:szCs w:val="24"/>
        </w:rPr>
      </w:pPr>
      <w:r w:rsidRPr="000D7B4C">
        <w:rPr>
          <w:color w:val="0D0D0D" w:themeColor="text1" w:themeTint="F2"/>
          <w:sz w:val="24"/>
          <w:szCs w:val="24"/>
        </w:rPr>
        <w:t xml:space="preserve">The study aims to examine the influence of profitability, liquidity, and leverage on tax avoidance </w:t>
      </w:r>
      <w:proofErr w:type="spellStart"/>
      <w:r w:rsidRPr="000D7B4C">
        <w:rPr>
          <w:color w:val="0D0D0D" w:themeColor="text1" w:themeTint="F2"/>
          <w:sz w:val="24"/>
          <w:szCs w:val="24"/>
        </w:rPr>
        <w:t>on</w:t>
      </w:r>
      <w:proofErr w:type="spellEnd"/>
      <w:r w:rsidRPr="000D7B4C">
        <w:rPr>
          <w:color w:val="0D0D0D" w:themeColor="text1" w:themeTint="F2"/>
          <w:sz w:val="24"/>
          <w:szCs w:val="24"/>
        </w:rPr>
        <w:t xml:space="preserve"> </w:t>
      </w:r>
      <w:proofErr w:type="spellStart"/>
      <w:r w:rsidRPr="000D7B4C">
        <w:rPr>
          <w:color w:val="0D0D0D" w:themeColor="text1" w:themeTint="F2"/>
          <w:sz w:val="24"/>
          <w:szCs w:val="24"/>
        </w:rPr>
        <w:t>food</w:t>
      </w:r>
      <w:proofErr w:type="spellEnd"/>
      <w:r w:rsidRPr="000D7B4C">
        <w:rPr>
          <w:color w:val="0D0D0D" w:themeColor="text1" w:themeTint="F2"/>
          <w:sz w:val="24"/>
          <w:szCs w:val="24"/>
        </w:rPr>
        <w:t xml:space="preserve"> </w:t>
      </w:r>
      <w:proofErr w:type="spellStart"/>
      <w:r w:rsidRPr="000D7B4C">
        <w:rPr>
          <w:color w:val="0D0D0D" w:themeColor="text1" w:themeTint="F2"/>
          <w:sz w:val="24"/>
          <w:szCs w:val="24"/>
        </w:rPr>
        <w:t>and</w:t>
      </w:r>
      <w:proofErr w:type="spellEnd"/>
      <w:r w:rsidRPr="000D7B4C">
        <w:rPr>
          <w:color w:val="0D0D0D" w:themeColor="text1" w:themeTint="F2"/>
          <w:sz w:val="24"/>
          <w:szCs w:val="24"/>
        </w:rPr>
        <w:t xml:space="preserve"> </w:t>
      </w:r>
      <w:proofErr w:type="spellStart"/>
      <w:r w:rsidRPr="000D7B4C">
        <w:rPr>
          <w:color w:val="0D0D0D" w:themeColor="text1" w:themeTint="F2"/>
          <w:sz w:val="24"/>
          <w:szCs w:val="24"/>
        </w:rPr>
        <w:t>baverage</w:t>
      </w:r>
      <w:proofErr w:type="spellEnd"/>
      <w:r w:rsidRPr="000D7B4C">
        <w:rPr>
          <w:color w:val="0D0D0D" w:themeColor="text1" w:themeTint="F2"/>
          <w:sz w:val="24"/>
          <w:szCs w:val="24"/>
        </w:rPr>
        <w:t xml:space="preserve"> </w:t>
      </w:r>
      <w:proofErr w:type="spellStart"/>
      <w:r w:rsidRPr="000D7B4C">
        <w:rPr>
          <w:color w:val="0D0D0D" w:themeColor="text1" w:themeTint="F2"/>
          <w:sz w:val="24"/>
          <w:szCs w:val="24"/>
        </w:rPr>
        <w:t>sector</w:t>
      </w:r>
      <w:proofErr w:type="spellEnd"/>
      <w:r w:rsidRPr="000D7B4C">
        <w:rPr>
          <w:color w:val="0D0D0D" w:themeColor="text1" w:themeTint="F2"/>
          <w:sz w:val="24"/>
          <w:szCs w:val="24"/>
        </w:rPr>
        <w:t xml:space="preserve"> </w:t>
      </w:r>
      <w:proofErr w:type="spellStart"/>
      <w:r w:rsidRPr="000D7B4C">
        <w:rPr>
          <w:color w:val="0D0D0D" w:themeColor="text1" w:themeTint="F2"/>
          <w:sz w:val="24"/>
          <w:szCs w:val="24"/>
        </w:rPr>
        <w:t>companies</w:t>
      </w:r>
      <w:proofErr w:type="spellEnd"/>
      <w:r w:rsidRPr="000D7B4C">
        <w:rPr>
          <w:color w:val="0D0D0D" w:themeColor="text1" w:themeTint="F2"/>
          <w:sz w:val="24"/>
          <w:szCs w:val="24"/>
        </w:rPr>
        <w:t xml:space="preserve"> </w:t>
      </w:r>
      <w:proofErr w:type="spellStart"/>
      <w:r w:rsidRPr="000D7B4C">
        <w:rPr>
          <w:color w:val="0D0D0D" w:themeColor="text1" w:themeTint="F2"/>
          <w:sz w:val="24"/>
          <w:szCs w:val="24"/>
        </w:rPr>
        <w:t>listed</w:t>
      </w:r>
      <w:proofErr w:type="spellEnd"/>
      <w:r w:rsidRPr="000D7B4C">
        <w:rPr>
          <w:color w:val="0D0D0D" w:themeColor="text1" w:themeTint="F2"/>
          <w:sz w:val="24"/>
          <w:szCs w:val="24"/>
        </w:rPr>
        <w:t xml:space="preserve"> on the Indonesia Stock Exchange. Research contributions are theoretically expected to develop research in the field of taxation and become literature for the next researcher. Practically speaking, this study is expected to provide reference material for the directorate general of taxes for decision making that can reduce tax avoidance in companies listed on the stock exchange so as to maximize national tax revenues.</w:t>
      </w:r>
      <w:r>
        <w:rPr>
          <w:color w:val="0D0D0D" w:themeColor="text1" w:themeTint="F2"/>
          <w:sz w:val="24"/>
          <w:szCs w:val="24"/>
          <w:lang w:val="en-US"/>
        </w:rPr>
        <w:t xml:space="preserve"> </w:t>
      </w:r>
      <w:r w:rsidRPr="000D7B4C">
        <w:rPr>
          <w:color w:val="0D0D0D" w:themeColor="text1" w:themeTint="F2"/>
          <w:sz w:val="24"/>
          <w:szCs w:val="24"/>
        </w:rPr>
        <w:t>The difference in this study compared to other similar studies lies in the object studied and also the indicators of tax avoidance assessment used</w:t>
      </w:r>
    </w:p>
    <w:p w14:paraId="4F67A393" w14:textId="77777777" w:rsidR="000D7B4C" w:rsidRDefault="000D7B4C" w:rsidP="00C40A65">
      <w:pPr>
        <w:pStyle w:val="BodyText"/>
        <w:ind w:firstLine="720"/>
        <w:jc w:val="both"/>
      </w:pPr>
    </w:p>
    <w:p w14:paraId="1A364A3F" w14:textId="77777777" w:rsidR="00C40A65" w:rsidRDefault="00C40A65" w:rsidP="00E45AAD">
      <w:pPr>
        <w:pStyle w:val="Heading1"/>
        <w:numPr>
          <w:ilvl w:val="0"/>
          <w:numId w:val="5"/>
        </w:numPr>
        <w:ind w:left="709" w:right="853"/>
        <w:jc w:val="left"/>
      </w:pPr>
      <w:r w:rsidRPr="0021158F">
        <w:rPr>
          <w:lang w:val="en-US"/>
        </w:rPr>
        <w:t>LITERATURE</w:t>
      </w:r>
      <w:r w:rsidRPr="0021158F">
        <w:t xml:space="preserve"> REVIEW</w:t>
      </w:r>
    </w:p>
    <w:p w14:paraId="20F63D95" w14:textId="77777777" w:rsidR="000D7B4C" w:rsidRPr="000D7B4C" w:rsidRDefault="000D7B4C" w:rsidP="000C43E5">
      <w:pPr>
        <w:ind w:left="142"/>
        <w:jc w:val="both"/>
        <w:rPr>
          <w:rStyle w:val="fontstyle21"/>
          <w:rFonts w:ascii="Times New Roman" w:hAnsi="Times New Roman"/>
          <w:i w:val="0"/>
          <w:iCs w:val="0"/>
          <w:sz w:val="24"/>
          <w:szCs w:val="24"/>
        </w:rPr>
      </w:pPr>
      <w:r w:rsidRPr="000D7B4C">
        <w:rPr>
          <w:rStyle w:val="fontstyle21"/>
          <w:rFonts w:ascii="Times New Roman" w:hAnsi="Times New Roman"/>
          <w:i w:val="0"/>
          <w:iCs w:val="0"/>
          <w:sz w:val="24"/>
          <w:szCs w:val="24"/>
        </w:rPr>
        <w:t>Agency Theory</w:t>
      </w:r>
    </w:p>
    <w:p w14:paraId="21A545E3" w14:textId="77777777" w:rsidR="000D7B4C" w:rsidRPr="000D7B4C" w:rsidRDefault="000D7B4C" w:rsidP="000C43E5">
      <w:pPr>
        <w:ind w:left="142" w:firstLine="425"/>
        <w:jc w:val="both"/>
        <w:rPr>
          <w:rStyle w:val="fontstyle31"/>
          <w:rFonts w:ascii="Times New Roman" w:hAnsi="Times New Roman"/>
          <w:sz w:val="24"/>
          <w:szCs w:val="24"/>
        </w:rPr>
      </w:pPr>
      <w:r w:rsidRPr="000D7B4C">
        <w:rPr>
          <w:rStyle w:val="fontstyle31"/>
          <w:rFonts w:ascii="Times New Roman" w:hAnsi="Times New Roman"/>
          <w:sz w:val="24"/>
          <w:szCs w:val="24"/>
        </w:rPr>
        <w:fldChar w:fldCharType="begin" w:fldLock="1"/>
      </w:r>
      <w:r w:rsidRPr="000D7B4C">
        <w:rPr>
          <w:rStyle w:val="fontstyle31"/>
          <w:rFonts w:ascii="Times New Roman" w:hAnsi="Times New Roman"/>
          <w:sz w:val="24"/>
          <w:szCs w:val="24"/>
        </w:rPr>
        <w:instrText>ADDIN CSL_CITATION {"citationItems":[{"id":"ITEM-1","itemData":{"DOI":"10.1177/0018726718812602","ISSN":"1741282X","abstract":"The benefits and drawbacks of diversity inside organizations have been the focus of attention for researchers and practitioners for several decades. In our article, we investigate the business case for racial diversity across different hierarchical levels. More precisely, we ask: How does racial diversity within organizations and its asymmetry across hierarchical levels affect their financial performance? From a sample of 143 US law firms from 2008 to 2012, we provide strong support for the business case and show that greater racial diversity for the entire organization is positively associated with firm financial performance. However, contrary to our initial expectations, the benefits of diversity are not more pronounced at the top of the organization, where its effects should arguably be more clearly observable. Diversity seems to have a similar effect across the three levels in law firms: associates, mid-level and partners. Furthermore, we find that the most profitable firms actually have their racial diversity heavily concentrated at the associate level. We discuss alternative explanations for this surprising finding and why the top-performing law firms have both overall higher degree of racial diversity and more concentration of its diversity at the lower level.","author":[{"dropping-particle":"","family":"Jensen","given":"Michael C","non-dropping-particle":"","parse-names":false,"suffix":""},{"dropping-particle":"","family":"Meckling","given":"William H","non-dropping-particle":"","parse-names":false,"suffix":""}],"container-title":"Human Relations","id":"ITEM-1","issue":"10","issued":{"date-parts":[["1976"]]},"page":"1671-1696","title":"Theory of The Firm: Managerial Behavior, Agency Cost, and Ownership Structure","type":"article-journal","volume":"72"},"uris":["http://www.mendeley.com/documents/?uuid=c71e04c9-3a10-4773-8b46-d45cdea76032"]}],"mendeley":{"formattedCitation":"(Jensen &amp; Meckling, 1976)","manualFormatting":"Jensen &amp; Meckling (1976)","plainTextFormattedCitation":"(Jensen &amp; Meckling, 1976)","previouslyFormattedCitation":"(Jensen &amp; Meckling, 1976)"},"properties":{"noteIndex":0},"schema":"https://github.com/citation-style-language/schema/raw/master/csl-citation.json"}</w:instrText>
      </w:r>
      <w:r w:rsidRPr="000D7B4C">
        <w:rPr>
          <w:rStyle w:val="fontstyle31"/>
          <w:rFonts w:ascii="Times New Roman" w:hAnsi="Times New Roman"/>
          <w:sz w:val="24"/>
          <w:szCs w:val="24"/>
        </w:rPr>
        <w:fldChar w:fldCharType="separate"/>
      </w:r>
      <w:r w:rsidRPr="000D7B4C">
        <w:rPr>
          <w:rStyle w:val="fontstyle31"/>
          <w:rFonts w:ascii="Times New Roman" w:hAnsi="Times New Roman"/>
          <w:noProof/>
          <w:sz w:val="24"/>
          <w:szCs w:val="24"/>
        </w:rPr>
        <w:t>Jensen &amp; Meckling (1976)</w:t>
      </w:r>
      <w:r w:rsidRPr="000D7B4C">
        <w:rPr>
          <w:rStyle w:val="fontstyle31"/>
          <w:rFonts w:ascii="Times New Roman" w:hAnsi="Times New Roman"/>
          <w:sz w:val="24"/>
          <w:szCs w:val="24"/>
        </w:rPr>
        <w:fldChar w:fldCharType="end"/>
      </w:r>
      <w:r w:rsidRPr="000D7B4C">
        <w:rPr>
          <w:rStyle w:val="fontstyle31"/>
          <w:rFonts w:ascii="Times New Roman" w:hAnsi="Times New Roman"/>
          <w:sz w:val="24"/>
          <w:szCs w:val="24"/>
        </w:rPr>
        <w:t xml:space="preserve"> state that between management and owners have different interests. Companies that separate management and ownership functions will be vulnerable to lambert agency conflicts. The agency model designs a system involving both parties, so that a contract of employment is required between the principal and the agent. The agreement is expected to maximize the principal's untility and can guarantee agents to receive rewards from the results of the company's management activities. The difference in interest between owner and management lies in maximizing the benefits (utility) of the owner (principal) with constraints (constraints) benefits (utility) and incentives that will be received by management.</w:t>
      </w:r>
    </w:p>
    <w:p w14:paraId="5C76D740" w14:textId="77777777" w:rsidR="000D7B4C" w:rsidRPr="000D7B4C" w:rsidRDefault="000D7B4C" w:rsidP="000C43E5">
      <w:pPr>
        <w:ind w:left="142" w:firstLine="425"/>
        <w:jc w:val="both"/>
        <w:rPr>
          <w:rStyle w:val="fontstyle41"/>
          <w:rFonts w:ascii="Times New Roman" w:hAnsi="Times New Roman"/>
          <w:i w:val="0"/>
          <w:iCs w:val="0"/>
          <w:sz w:val="24"/>
          <w:szCs w:val="24"/>
        </w:rPr>
      </w:pPr>
      <w:r w:rsidRPr="000D7B4C">
        <w:rPr>
          <w:rStyle w:val="fontstyle41"/>
          <w:rFonts w:ascii="Times New Roman" w:hAnsi="Times New Roman"/>
          <w:i w:val="0"/>
          <w:iCs w:val="0"/>
          <w:sz w:val="24"/>
          <w:szCs w:val="24"/>
        </w:rPr>
        <w:t>Different interests often cause conflicts of interest between shareholders/principals and management. Agency theory is a model used to formulate problems between management and owners. The company's performance has been achieved by the management has been informed to the owner in the form of financial statements. Decentralized system, management has superior information compared to the owner, because management has received delegation for decision making/company policy. Management can determine policies that lead to a potential increase in compensation levels when the owner is unable to perfectly monitor management activities. All Actions have been delegated by the owner to the manager on the principalagent model</w:t>
      </w:r>
    </w:p>
    <w:p w14:paraId="562C9E85" w14:textId="77777777" w:rsidR="000D7B4C" w:rsidRPr="000D7B4C" w:rsidRDefault="000D7B4C" w:rsidP="000C43E5">
      <w:pPr>
        <w:ind w:left="142"/>
        <w:jc w:val="both"/>
        <w:rPr>
          <w:rStyle w:val="fontstyle21"/>
          <w:rFonts w:ascii="Times New Roman" w:hAnsi="Times New Roman"/>
          <w:i w:val="0"/>
          <w:iCs w:val="0"/>
          <w:sz w:val="24"/>
          <w:szCs w:val="24"/>
        </w:rPr>
      </w:pPr>
      <w:r w:rsidRPr="000D7B4C">
        <w:rPr>
          <w:rStyle w:val="fontstyle21"/>
          <w:rFonts w:ascii="Times New Roman" w:hAnsi="Times New Roman"/>
          <w:i w:val="0"/>
          <w:iCs w:val="0"/>
          <w:sz w:val="24"/>
          <w:szCs w:val="24"/>
        </w:rPr>
        <w:t>Stakeholder Theory</w:t>
      </w:r>
    </w:p>
    <w:p w14:paraId="08CA4038" w14:textId="77777777" w:rsidR="000D7B4C" w:rsidRPr="000D7B4C" w:rsidRDefault="000D7B4C" w:rsidP="000C43E5">
      <w:pPr>
        <w:ind w:left="142" w:firstLine="425"/>
        <w:jc w:val="both"/>
        <w:rPr>
          <w:rStyle w:val="fontstyle31"/>
          <w:rFonts w:ascii="Times New Roman" w:hAnsi="Times New Roman"/>
          <w:sz w:val="24"/>
          <w:szCs w:val="24"/>
        </w:rPr>
      </w:pPr>
      <w:r w:rsidRPr="000D7B4C">
        <w:rPr>
          <w:rStyle w:val="fontstyle31"/>
          <w:rFonts w:ascii="Times New Roman" w:hAnsi="Times New Roman"/>
          <w:sz w:val="24"/>
          <w:szCs w:val="24"/>
        </w:rPr>
        <w:t>Stakeholders are parties who have interests either directly or indirectly, to the existence or activities of the company. The main focus in this theory is how the company monitors and responds to the needs of its stakeholders. Ghozali&amp;Chariri (2007) stakeholder theory says that a company is not an entity that only operates for its own interests but must provide benefits to its stakeholders. What is meant by stakeholders, such as shareholders, employees, consumers or customers, suppliers, governments, communities, and other parties. Stakeholders can control or have the ability to influence the use of economic resources used by the company.</w:t>
      </w:r>
    </w:p>
    <w:p w14:paraId="520E4709" w14:textId="77777777" w:rsidR="000D7B4C" w:rsidRPr="000D7B4C" w:rsidRDefault="000D7B4C" w:rsidP="000C43E5">
      <w:pPr>
        <w:ind w:left="142" w:firstLine="284"/>
        <w:jc w:val="both"/>
        <w:rPr>
          <w:sz w:val="24"/>
          <w:szCs w:val="24"/>
        </w:rPr>
      </w:pPr>
      <w:r w:rsidRPr="000D7B4C">
        <w:rPr>
          <w:sz w:val="24"/>
          <w:szCs w:val="24"/>
        </w:rPr>
        <w:t xml:space="preserve">Therefore, stakeholder power is determined by the small amount of power that stakeholders have over the source. Such power can be the ability to limit the use of limited economic resources (capital and labor), access to influential media, the ability to regulate companies, or the ability to influence consumption of goods and services produced by the company </w:t>
      </w:r>
      <w:r w:rsidRPr="000D7B4C">
        <w:rPr>
          <w:sz w:val="24"/>
          <w:szCs w:val="24"/>
        </w:rPr>
        <w:fldChar w:fldCharType="begin" w:fldLock="1"/>
      </w:r>
      <w:r w:rsidRPr="000D7B4C">
        <w:rPr>
          <w:sz w:val="24"/>
          <w:szCs w:val="24"/>
        </w:rPr>
        <w:instrText>ADDIN CSL_CITATION {"citationItems":[{"id":"ITEM-1","itemData":{"ISBN":"9781317920908","ISSN":"08445621","PMID":"20056882","abstract":"This paper investigates the prospects of integrating Edmodo into Saudi EFL female secondary school instruction. It concentrates on students’ perceptions and challenges regarding Edmodo use and its effect on their attitudes towards EFL learning. The 42 participants were divided into two groups. The experimental group received traditional teaching plus a six-week daily interaction via Edmodo. The control group received traditional teaching only. Findings of the post-treatment questionnaire show that students’ perceptions towards Edmodo were highly positive andthat although there were considerable challenges to its integration, it appeared to have excellent potential for generating more positive attitudes towards EFL learning.","author":[{"dropping-particle":"","family":"Hastuti","given":"Widya","non-dropping-particle":"","parse-names":false,"suffix":""}],"container-title":"Jurnal Akuntansi","id":"ITEM-1","issue":"1","issued":{"date-parts":[["2014"]]},"page":"1-24","title":"Pengaruh Ukuran Perusahaan, Pertumbuhan Perusahaan, Dan Tipe Industri Terhadap Pengungkapan Tanggung Jawab Sosial Perusahaan Dalam Laporan Tahunan (Studi Empiris pada perusahaan Manufaktur yang listing di BEI)","type":"article-journal","volume":"39"},"uris":["http://www.mendeley.com/documents/?uuid=1ccac775-1188-49fd-bdec-158c9c11276e"]}],"mendeley":{"formattedCitation":"(Hastuti, 2014)","plainTextFormattedCitation":"(Hastuti, 2014)","previouslyFormattedCitation":"(Hastuti, 2014)"},"properties":{"noteIndex":0},"schema":"https://github.com/citation-style-language/schema/raw/master/csl-citation.json"}</w:instrText>
      </w:r>
      <w:r w:rsidRPr="000D7B4C">
        <w:rPr>
          <w:sz w:val="24"/>
          <w:szCs w:val="24"/>
        </w:rPr>
        <w:fldChar w:fldCharType="separate"/>
      </w:r>
      <w:r w:rsidRPr="000D7B4C">
        <w:rPr>
          <w:noProof/>
          <w:sz w:val="24"/>
          <w:szCs w:val="24"/>
        </w:rPr>
        <w:t>(Hastuti, 2014)</w:t>
      </w:r>
      <w:r w:rsidRPr="000D7B4C">
        <w:rPr>
          <w:sz w:val="24"/>
          <w:szCs w:val="24"/>
        </w:rPr>
        <w:fldChar w:fldCharType="end"/>
      </w:r>
    </w:p>
    <w:p w14:paraId="03EF3432" w14:textId="77777777" w:rsidR="000C43E5" w:rsidRDefault="000C43E5" w:rsidP="00C40A65">
      <w:pPr>
        <w:pStyle w:val="Heading1"/>
        <w:ind w:left="0" w:right="853"/>
        <w:jc w:val="left"/>
      </w:pPr>
    </w:p>
    <w:p w14:paraId="6B0D045F" w14:textId="3F46386B" w:rsidR="00C40A65" w:rsidRDefault="00C40A65" w:rsidP="00C40A65">
      <w:pPr>
        <w:pStyle w:val="Heading1"/>
        <w:ind w:left="0" w:right="853"/>
        <w:jc w:val="left"/>
      </w:pPr>
      <w:r w:rsidRPr="0021158F">
        <w:t>Hypothesis Development</w:t>
      </w:r>
    </w:p>
    <w:p w14:paraId="4C11E7F7" w14:textId="034D2EC9" w:rsidR="000D7B4C" w:rsidRPr="000D7B4C" w:rsidRDefault="000D7B4C" w:rsidP="000D7B4C">
      <w:pPr>
        <w:jc w:val="both"/>
        <w:rPr>
          <w:rStyle w:val="fontstyle01"/>
          <w:b w:val="0"/>
          <w:bCs w:val="0"/>
          <w:sz w:val="24"/>
          <w:szCs w:val="24"/>
        </w:rPr>
      </w:pPr>
      <w:r w:rsidRPr="000D7B4C">
        <w:rPr>
          <w:b/>
          <w:bCs/>
          <w:sz w:val="24"/>
          <w:szCs w:val="24"/>
          <w:lang w:val="en-US"/>
        </w:rPr>
        <w:t xml:space="preserve">The Effect of </w:t>
      </w:r>
      <w:r w:rsidRPr="000D7B4C">
        <w:rPr>
          <w:b/>
          <w:bCs/>
          <w:sz w:val="24"/>
          <w:szCs w:val="24"/>
        </w:rPr>
        <w:t xml:space="preserve">Profitability </w:t>
      </w:r>
      <w:r w:rsidRPr="000D7B4C">
        <w:rPr>
          <w:b/>
          <w:bCs/>
          <w:sz w:val="24"/>
          <w:szCs w:val="24"/>
          <w:lang w:val="en-US"/>
        </w:rPr>
        <w:t>on</w:t>
      </w:r>
      <w:r w:rsidRPr="000D7B4C">
        <w:rPr>
          <w:b/>
          <w:bCs/>
          <w:sz w:val="24"/>
          <w:szCs w:val="24"/>
        </w:rPr>
        <w:t xml:space="preserve"> the avoidance</w:t>
      </w:r>
    </w:p>
    <w:p w14:paraId="65FCBA8E" w14:textId="77777777" w:rsidR="000D7B4C" w:rsidRPr="000D7B4C" w:rsidRDefault="000D7B4C" w:rsidP="000D7B4C">
      <w:pPr>
        <w:ind w:left="142" w:firstLine="567"/>
        <w:jc w:val="both"/>
        <w:rPr>
          <w:sz w:val="24"/>
          <w:szCs w:val="24"/>
        </w:rPr>
      </w:pPr>
      <w:r w:rsidRPr="000D7B4C">
        <w:rPr>
          <w:color w:val="0D0D0D" w:themeColor="text1" w:themeTint="F2"/>
          <w:sz w:val="24"/>
          <w:szCs w:val="24"/>
        </w:rPr>
        <w:t xml:space="preserve">The company's profitability shows the company's ability to make a profit. Companies that have large total assets tend to be more capable and stable to generate profits when compared to companies with small total assets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{"citationItems":[{"id":"ITEM-1","itemData":{"ISSN":"2302-8556","abstract":"Penelitian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 Kata","author":[{"dropping-particle":"","family":"Dewinta","given":"Ida","non-dropping-particle":"","parse-names":false,"suffix":""},{"dropping-particle":"","family":"Setiawan","given":"Putu","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Avoidance","type":"article-journal","volume":"14"},"uris":["http://www.mendeley.com/documents/?uuid=73245ae9-8288-44b1-9bb1-9609a875c567"]}],"mendeley":{"formattedCitation":"(Dewinta &amp; Setiawan, 2016)","plainTextFormattedCitation":"(Dewinta &amp; Setiawan, 2016)","previouslyFormattedCitation":"(Dewinta &amp; Setiawan, 2016)"},"properties":{"noteIndex":0},"schema":"https://github.com/citation-style-language/schema/raw/master/csl-citation.json"}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(Dewinta &amp; Setiawan, 2016)</w:t>
      </w:r>
      <w:r w:rsidRPr="000D7B4C">
        <w:rPr>
          <w:color w:val="0D0D0D" w:themeColor="text1" w:themeTint="F2"/>
          <w:sz w:val="24"/>
          <w:szCs w:val="24"/>
        </w:rPr>
        <w:fldChar w:fldCharType="end"/>
      </w:r>
      <w:r w:rsidRPr="000D7B4C">
        <w:rPr>
          <w:color w:val="0D0D0D" w:themeColor="text1" w:themeTint="F2"/>
          <w:sz w:val="24"/>
          <w:szCs w:val="24"/>
        </w:rPr>
        <w:t xml:space="preserve">. A large and stable profit will tend to encourage companies to practice tax avoidance. Profitability consists </w:t>
      </w:r>
      <w:r w:rsidRPr="000D7B4C">
        <w:rPr>
          <w:color w:val="0D0D0D" w:themeColor="text1" w:themeTint="F2"/>
          <w:sz w:val="24"/>
          <w:szCs w:val="24"/>
        </w:rPr>
        <w:lastRenderedPageBreak/>
        <w:t xml:space="preserve">of several ratios, one of which is the Return On Assets (ROA) ROA serves to measure the effectiveness of a company in using its resources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{"citationItems":[{"id":"ITEM-1","itemData":{"ISSN":"2302-8556","abstract":"Penelitian ini bertujuan untuk membuktikan secara empiris pengaruh dewan komisaris independen, kepemilikan institusional, profitabilitas dan leverage terhadap tax avoidance pada perusahaan sektor jasa di BEI 2012- 2014. Teori yang digunakan dalam penelitian ini adalah Teori Keagenan (Agency Theory), Teori Kepatuhan dan Teori Akuntansi Positif. Populasi yang digunakan dalam penelitian ini adalah semua perusahaan yang terdaftar di BEI periode 2012 sampai dengan 2014 yaitu sebanyak 268 perusahaan. Pengambilan sampel dalam penelitian ini menggunakan metode purposive sampling. Pengumpulan data dilakukan dengan metode dokumentasi.Teknik analisis data yang digunakan adalah analisis regresi linier berganda. Hasil penelitian menunjukkan bahwa dewan komisaris independen dan profitabilitas berpengaruh negatif terhadap tax avoidance. Variabel kepemilikan institusional dan leverage berpengaruh positif terhadap tax avoidance.","author":[{"dropping-particle":"","family":"Ariawan","given":"I Made Agus Riko","non-dropping-particle":"","parse-names":false,"suffix":""},{"dropping-particle":"","family":"Setiawan","given":"Putu Ery","non-dropping-particle":"","parse-names":false,"suffix":""}],"container-title":"E-Jurnal Akuntansi","id":"ITEM-1","issue":"3","issued":{"date-parts":[["2017"]]},"page":"1831-1859","title":"Pengaruh Dewan Komisaris Independen, Kepemilikan Institusional, Profitabilitas Dan Leverge Terhadap Tax Avoidance","type":"article-journal","volume":"18"},"uris":["http://www.mendeley.com/documents/?uuid=95c72a8f-4f89-40a8-bf9c-ea3ab2e9796a"]}],"mendeley":{"formattedCitation":"(Ariawan &amp; Setiawan, 2017)","plainTextFormattedCitation":"(Ariawan &amp; Setiawan, 2017)","previouslyFormattedCitation":"(Ariawan &amp; Setiawan, 2017)"},"properties":{"noteIndex":0},"schema":"https://github.com/citation-style-language/schema/raw/master/csl-citation.json"}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(Ariawan &amp; Setiawan, 2017)</w:t>
      </w:r>
      <w:r w:rsidRPr="000D7B4C">
        <w:rPr>
          <w:color w:val="0D0D0D" w:themeColor="text1" w:themeTint="F2"/>
          <w:sz w:val="24"/>
          <w:szCs w:val="24"/>
        </w:rPr>
        <w:fldChar w:fldCharType="end"/>
      </w:r>
      <w:r w:rsidRPr="000D7B4C">
        <w:rPr>
          <w:color w:val="0D0D0D" w:themeColor="text1" w:themeTint="F2"/>
          <w:sz w:val="24"/>
          <w:szCs w:val="24"/>
        </w:rPr>
        <w:t xml:space="preserve">. Research conducted by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{"citationItems":[{"id":"ITEM-1","itemData":{"DOI":"10.15640/ijat.v5n2a3","ISSN":"23724978","abstract":"Penelitian ini bertujuan untuk menguji pengaruh leverage, kepemilikan institusional, komite audit, pertumbuhan penjualan, profitabilitas dan ukuran perusahaan pada penghindaran pajak. Penelitian ini dilakukan di Indonesia dengan menggunakan perusahaan manufaktur unit analisis yang telah go public. Populasi penelitian ini adalah perusahaan manufaktur yang terdaftar di Bursa Efek Indonesia. Metode pengambilan sampel menggunakan purposive sampling dengan masa studi 2014 hingga 2017 dan diperoleh sebanyak 127 perusahaan. Teknik analisis data menggunakan analisis regresi berganda. Hasil penelitian ini menunjukkan bahwa leverage, Kepemilikan Institusional dan Komite Audit positif tidak signifikan pada Penghindaran Pajak. Pertumbuhan Penjualan negatif tidak signifikan pada Penghindaran Pajak. Profitabilitas positif signifikan terhadap Penghindaran Pajak. Ukuran Perusahaan negatif signifikan pada Penghindaran Pajak.","author":[{"dropping-particle":"","family":"Kurniasih","given":"Tommy","non-dropping-particle":"","parse-names":false,"suffix":""},{"dropping-particle":"","family":"Sari","given":"Maria M Ratna","non-dropping-particle":"","parse-names":false,"suffix":""}],"container-title":"International Journal of Accounting and Taxation","id":"ITEM-1","issue":"2","issued":{"date-parts":[["2017"]]},"page":"58-66","title":"The Influence of Profitability, Leverage, Firm Size and Capital Intensity Towards Tax Avoidance","type":"article-journal","volume":"5"},"uris":["http://www.mendeley.com/documents/?uuid=6a9c7b5f-32ed-439e-b265-e291a1c39719"]}],"mendeley":{"formattedCitation":"(Kurniasih &amp; Sari, 2017)","manualFormatting":"Kurniasih &amp; Sari (2017)","plainTextFormattedCitation":"(Kurniasih &amp; Sari, 2017)","previouslyFormattedCitation":"(Kurniasih &amp; Sari, 2017)"},"properties":{"noteIndex":0},"schema":"https://github.com/citation-style-language/schema/raw/master/csl-citation.json"}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Kurniasih &amp; Sari (2017)</w:t>
      </w:r>
      <w:r w:rsidRPr="000D7B4C">
        <w:rPr>
          <w:color w:val="0D0D0D" w:themeColor="text1" w:themeTint="F2"/>
          <w:sz w:val="24"/>
          <w:szCs w:val="24"/>
        </w:rPr>
        <w:fldChar w:fldCharType="end"/>
      </w:r>
      <w:r w:rsidRPr="000D7B4C">
        <w:rPr>
          <w:color w:val="0D0D0D" w:themeColor="text1" w:themeTint="F2"/>
          <w:sz w:val="24"/>
          <w:szCs w:val="24"/>
        </w:rPr>
        <w:t xml:space="preserve">;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{"citationItems":[{"id":"ITEM-1","itemData":{"ISSN":"1520605x, 00092347","abstract":"The University of Massachusetts Amherst has launched a science education program for students majoring in science, technology, engineering, and mathematics (STEM) in early 2011. The science education program focused on combining multidisciplinary teamwork, problem-based learning, and student-driven education. The program was optional and students needed to apply for it, while its courses satisfied requirements for most honors STEM majors. The program was referred to as integrated Concentrations in science (iCons) and introduced its cohort of 45 students to integrated science learning through concentrations in biomedicine and renewable energy. It was structured around three courses, such as iCons I-III, and a senior project, and iCons-IV. The aim of the program was to augment the first two concentrations with ones in clean water and climate change in coming semesters.","author":[{"dropping-particle":"","family":"Agusti","given":"Wirna Yola","non-dropping-particle":"","parse-names":false,"suffix":""}],"container-title":"Jurnal Simposium Nasional Akuntansi","id":"ITEM-1","issue":"2","issued":{"date-parts":[["2013"]]},"page":"1-32","title":"Pengaruh Profitabilitas, Leverage, dan Corporate Governance (Studi Empiris Pada Perusahaan Manufaktur yang Terdaftar di BEI tahu 2009-2012","type":"article-journal","volume":"4"},"uris":["http://www.mendeley.com/documents/?uuid=8c8614e0-84f0-420d-9fca-5e78dcc3231c"]}],"mendeley":{"formattedCitation":"(Agusti, 2013)","plainTextFormattedCitation":"(Agusti, 2013)","previouslyFormattedCitation":"(Agusti, 2013)"},"properties":{"noteIndex":0},"schema":"https://github.com/citation-style-language/schema/raw/master/csl-citation.json"}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Agusti (2013)</w:t>
      </w:r>
      <w:r w:rsidRPr="000D7B4C">
        <w:rPr>
          <w:color w:val="0D0D0D" w:themeColor="text1" w:themeTint="F2"/>
          <w:sz w:val="24"/>
          <w:szCs w:val="24"/>
        </w:rPr>
        <w:fldChar w:fldCharType="end"/>
      </w:r>
      <w:r w:rsidRPr="000D7B4C">
        <w:rPr>
          <w:color w:val="0D0D0D" w:themeColor="text1" w:themeTint="F2"/>
          <w:sz w:val="24"/>
          <w:szCs w:val="24"/>
        </w:rPr>
        <w:t xml:space="preserve"> shows that the level of company profitability has a significant negative effect on tax avoidance. However, research conducted by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{"citationItems":[{"id":"ITEM-1","itemData":{"ISSN":"2302-8556","abstract":"Reliable field methods for the storage of tissues to be used for DNA extraction and amplification are critical to many studies employing molecular techniques. Protection from DNA degradation was compared among three commonly used methods of noncryogenic storage of tissues ...","author":[{"dropping-particle":"","family":"Darmawan","given":"I","non-dropping-particle":"","parse-names":false,"suffix":""},{"dropping-particle":"","family":"Sukartha","given":"I","non-dropping-particle":"","parse-names":false,"suffix":""}],"container-title":"E-Jurnal Akuntansi","id":"ITEM-1","issue":"1","issued":{"date-parts":[["2014"]]},"page":"143-161","title":"Pengaruh Penerapan Corporate Governance, Leverage, Roa, Dan Ukuran Perusahaan Pada Penghindaran Pajak","type":"article-journal","volume":"9"},"uris":["http://www.mendeley.com/documents/?uuid=dc8705dc-0a32-44f2-ab1e-fe694eb504ce"]}],"mendeley":{"formattedCitation":"(Darmawan &amp; Sukartha, 2014)","manualFormatting":"Darmawan &amp; Sukartha (2014)","plainTextFormattedCitation":"(Darmawan &amp; Sukartha, 2014)","previouslyFormattedCitation":"(Darmawan &amp; Sukartha, 2014)"},"properties":{"noteIndex":0},"schema":"https://github.com/citation-style-language/schema/raw/master/csl-citation.json"}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Darmawan &amp; Sukartha (2014)</w:t>
      </w:r>
      <w:r w:rsidRPr="000D7B4C">
        <w:rPr>
          <w:color w:val="0D0D0D" w:themeColor="text1" w:themeTint="F2"/>
          <w:sz w:val="24"/>
          <w:szCs w:val="24"/>
        </w:rPr>
        <w:fldChar w:fldCharType="end"/>
      </w:r>
      <w:r w:rsidRPr="000D7B4C">
        <w:rPr>
          <w:color w:val="0D0D0D" w:themeColor="text1" w:themeTint="F2"/>
          <w:sz w:val="24"/>
          <w:szCs w:val="24"/>
        </w:rPr>
        <w:t xml:space="preserve">;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{"citationItems":[{"id":"ITEM-1","itemData":{"DOI":"10.24843/EJA.2017.v21.i02.p01","ISSN":"2302-8556","abstract":"Pajak merupakan sektor yang memegang peranan penting dalam perekonomian, karena dalam pos penerimaan Anggaran Pendapatan dan Belanja Negara (APBN) sumbangan pajak memiliki porsi yang lebih besar dibandingkan dengan sumber penerimaan lain (non pajak). Penerimaan pajak di Indonesia belum maksimal, padahal Indonesia memiliki potensi penerimaan pajak yang tinggi dikarenakan besarnya jumlah penduduk dan kegiatan usaha. Penghindaran pajak merupakan rangkaian aktivitas perencanaan pajak. Penghindaran pajak dapat dikatakan sebagai mengurangi pajak dengan mengikuti peraturan yang ada. Persoalanpenghindaran pajak rumit dan unik, di satu sisi penghindaran pajak diperbolehkan, tapi di sisi lain penghindaran pajak tidak diinginkan. Penelitian ini bertujuan untuk mengetahui pengaruh ukuran perusahaan, leverage,profitabilitas dan corporate social responsibility pada penghindaran pajak. Penghindaran pajak dalam penelitian ini diproksi dengan nilai CETR. Data yang digunakan adalah data sekunder. Populasi dari penelitian ini adalah Bursa Efek Indonesia (BEI) selama periode 2013-2015. Metode penentuan sampel dari penelitian ini adalah denganpurposive sampling sesuai dengan kriteria yang telah ditentukan dan diperoleh sampel sebanyak 36 perusahaan. Teknik analisis yang digunakan adalah regresi linear berganda. Berdasarkan hasil pengujian analisis regresi linear berganda, penelitian menujukkan bahwa ukuran perusahaan, leveragedan pengungkapan corporate social responsibilityberpengaruh negatif dan signifikan pada penghindaran pajak, sedangkan profitabilitas berpengaruh positif dan signifikan pada penghindaran pajak.","author":[{"dropping-particle":"","family":"Luh","given":"Ni","non-dropping-particle":"","parse-names":false,"suffix":""},{"dropping-particle":"","family":"Puspita","given":"Putu","non-dropping-particle":"","parse-names":false,"suffix":""}],"container-title":"E-Jurnal Akuntansi","id":"ITEM-1","issue":"2","issued":{"date-parts":[["2017"]]},"page":"882-911","title":"Pengaruh Ukuran Perusahaan, Leverage, Profitabilitas dan Corporate Social Responsibility Terhadap Penghindaran Pajak (Tax Avoidance)","type":"article-journal","volume":"21"},"uris":["http://www.mendeley.com/documents/?uuid=54d72249-8b6d-41b5-b9a3-5521741bc28d"]}],"mendeley":{"formattedCitation":"(Luh &amp; Puspita, 2017)","plainTextFormattedCitation":"(Luh &amp; Puspita, 2017)","previouslyFormattedCitation":"(Luh &amp; Puspita, 2017)"},"properties":{"noteIndex":0},"schema":"https://github.com/citation-style-language/schema/raw/master/csl-citation.json"}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Luh  &amp; Puspita (2017)</w:t>
      </w:r>
      <w:r w:rsidRPr="000D7B4C">
        <w:rPr>
          <w:color w:val="0D0D0D" w:themeColor="text1" w:themeTint="F2"/>
          <w:sz w:val="24"/>
          <w:szCs w:val="24"/>
        </w:rPr>
        <w:fldChar w:fldCharType="end"/>
      </w:r>
      <w:r w:rsidRPr="000D7B4C">
        <w:rPr>
          <w:color w:val="0D0D0D" w:themeColor="text1" w:themeTint="F2"/>
          <w:sz w:val="24"/>
          <w:szCs w:val="24"/>
        </w:rPr>
        <w:t xml:space="preserve">;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{"citationItems":[{"id":"ITEM-1","itemData":{"abstract":"This study aimed to examine the effect of business strategy and corporate characteristics on tax avoidance. The theory used in this research is agency theory. This research using manufacturing company during 2012-2016 as a sample, and based on purposive sampling method was obtained 12 companies. Variable business strategy use 2 strategies by companies is defender and prospector measured using variable dummy. Corporate characteristics used in this study is the profitability measured by the ratio of ROA, leverage, and size. The dependent variable using CETR proxy. The data in this research was processed using SPSS with multiple linear regression method. This research shows that the profitability and size have a significant influence to the tax avoidance. Based on the test results, obtained a significance value of 0,010 and 0,037. Business strategies and leverage do not have influence to the tax avoidance.","author":[{"dropping-particle":"","family":"Wardani","given":"Dewi Kusuma","non-dropping-particle":"","parse-names":false,"suffix":""},{"dropping-particle":"","family":"Khoiriyah","given":"Desi","non-dropping-particle":"","parse-names":false,"suffix":""}],"container-title":"Akuntansi Dewantara","id":"ITEM-1","issue":"1","issued":{"date-parts":[["2018"]]},"page":"25-36","title":"Pengaruh strategi bisnis dan karakteristik perusahaan terhadap penghindaran pajak","type":"article-journal","volume":"2"},"uris":["http://www.mendeley.com/documents/?uuid=9852ecf8-e062-4d79-866b-d7f0d8b79257"]}],"mendeley":{"formattedCitation":"(Wardani &amp; Khoiriyah, 2018)","plainTextFormattedCitation":"(Wardani &amp; Khoiriyah, 2018)","previouslyFormattedCitation":"(Wardani &amp; Khoiriyah, 2018)"},"properties":{"noteIndex":0},"schema":"https://github.com/citation-style-language/schema/raw/master/csl-citation.json"}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Wardani &amp; Khoiriyah (2018)</w:t>
      </w:r>
      <w:r w:rsidRPr="000D7B4C">
        <w:rPr>
          <w:color w:val="0D0D0D" w:themeColor="text1" w:themeTint="F2"/>
          <w:sz w:val="24"/>
          <w:szCs w:val="24"/>
        </w:rPr>
        <w:fldChar w:fldCharType="end"/>
      </w:r>
      <w:r w:rsidRPr="000D7B4C">
        <w:rPr>
          <w:color w:val="0D0D0D" w:themeColor="text1" w:themeTint="F2"/>
          <w:sz w:val="24"/>
          <w:szCs w:val="24"/>
        </w:rPr>
        <w:t xml:space="preserve"> shows that profitability has a positive effect on corporate tax avoidance. </w:t>
      </w:r>
      <w:r w:rsidRPr="000D7B4C">
        <w:rPr>
          <w:sz w:val="24"/>
          <w:szCs w:val="24"/>
        </w:rPr>
        <w:t>Therefore, the first hypothesis in the study is:</w:t>
      </w:r>
    </w:p>
    <w:p w14:paraId="2B8DD2E5" w14:textId="77777777" w:rsidR="000D7B4C" w:rsidRPr="000D7B4C" w:rsidRDefault="000D7B4C" w:rsidP="000D7B4C">
      <w:pPr>
        <w:ind w:left="142"/>
        <w:jc w:val="both"/>
        <w:rPr>
          <w:sz w:val="24"/>
          <w:szCs w:val="24"/>
        </w:rPr>
      </w:pPr>
      <w:r w:rsidRPr="000D7B4C">
        <w:rPr>
          <w:b/>
          <w:sz w:val="24"/>
          <w:szCs w:val="24"/>
        </w:rPr>
        <w:t>H1</w:t>
      </w:r>
      <w:r w:rsidRPr="000D7B4C">
        <w:rPr>
          <w:sz w:val="24"/>
          <w:szCs w:val="24"/>
        </w:rPr>
        <w:t>: There are positivie effects of the profitability on the tax avoidance</w:t>
      </w:r>
    </w:p>
    <w:p w14:paraId="533BFC2D" w14:textId="77777777" w:rsidR="000C43E5" w:rsidRDefault="000C43E5" w:rsidP="000D7B4C">
      <w:pPr>
        <w:ind w:left="142"/>
        <w:jc w:val="both"/>
        <w:rPr>
          <w:b/>
          <w:bCs/>
          <w:sz w:val="24"/>
          <w:szCs w:val="24"/>
          <w:lang w:val="en-US"/>
        </w:rPr>
      </w:pPr>
    </w:p>
    <w:p w14:paraId="7AE077F3" w14:textId="146DCC1C" w:rsidR="000D7B4C" w:rsidRPr="000D7B4C" w:rsidRDefault="000D7B4C" w:rsidP="000D7B4C">
      <w:pPr>
        <w:ind w:left="142"/>
        <w:jc w:val="both"/>
        <w:rPr>
          <w:b/>
          <w:bCs/>
          <w:color w:val="0D0D0D" w:themeColor="text1" w:themeTint="F2"/>
          <w:sz w:val="24"/>
          <w:szCs w:val="24"/>
        </w:rPr>
      </w:pPr>
      <w:r>
        <w:rPr>
          <w:b/>
          <w:bCs/>
          <w:sz w:val="24"/>
          <w:szCs w:val="24"/>
          <w:lang w:val="en-US"/>
        </w:rPr>
        <w:t xml:space="preserve">The Effect of </w:t>
      </w:r>
      <w:r w:rsidRPr="000D7B4C">
        <w:rPr>
          <w:b/>
          <w:bCs/>
          <w:sz w:val="24"/>
          <w:szCs w:val="24"/>
        </w:rPr>
        <w:t xml:space="preserve">Leverage </w:t>
      </w:r>
      <w:r>
        <w:rPr>
          <w:b/>
          <w:bCs/>
          <w:sz w:val="24"/>
          <w:szCs w:val="24"/>
          <w:lang w:val="en-US"/>
        </w:rPr>
        <w:t>on</w:t>
      </w:r>
      <w:r w:rsidRPr="000D7B4C">
        <w:rPr>
          <w:b/>
          <w:bCs/>
          <w:sz w:val="24"/>
          <w:szCs w:val="24"/>
        </w:rPr>
        <w:t xml:space="preserve"> tax avoidance</w:t>
      </w:r>
      <w:r w:rsidRPr="000D7B4C">
        <w:rPr>
          <w:b/>
          <w:bCs/>
          <w:color w:val="0D0D0D" w:themeColor="text1" w:themeTint="F2"/>
          <w:sz w:val="24"/>
          <w:szCs w:val="24"/>
        </w:rPr>
        <w:t xml:space="preserve"> </w:t>
      </w:r>
    </w:p>
    <w:p w14:paraId="1066A08A" w14:textId="77777777" w:rsidR="000D7B4C" w:rsidRPr="000D7B4C" w:rsidRDefault="000D7B4C" w:rsidP="000D7B4C">
      <w:pPr>
        <w:ind w:left="142" w:firstLine="425"/>
        <w:jc w:val="both"/>
        <w:rPr>
          <w:sz w:val="24"/>
          <w:szCs w:val="24"/>
        </w:rPr>
      </w:pPr>
      <w:r w:rsidRPr="000D7B4C">
        <w:rPr>
          <w:color w:val="0D0D0D" w:themeColor="text1" w:themeTint="F2"/>
          <w:sz w:val="24"/>
          <w:szCs w:val="24"/>
        </w:rPr>
        <w:t xml:space="preserve">Leverage is the level of debt that the company uses in making financing. The leverage ratio shows the ratio between the amount of debt and the equity the company has. The greater the value of the leverage ratio indicates that the company prefers to be in debt rather than issue shares to fund the company. This has the consequence that the company will pay interest costs periodically. Companies use the level of debt with the aim that the benefits obtained are greater than the costs of the debt so as to increase shareholder profits. In addition, high leverage in a company will reduce the tax burden borne by the company because it is reduced by deductible expenses. Thus, management prefers debt measures as an effort to avoid a larger tax burden. Previous research on the effect of leverage on tax avoidance was carried out by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{"citationItems":[{"id":"ITEM-1","itemData":{"ISSN":"2302-8556","abstract":"Tax revenue is important  because it provides the largest contribution to the state revenue. Companies  often  take  measures  to  reduce  its  tax  burden.  One  of  the  actions    is  tax avoidance.  This  study  examined  the  effect  of  corporate  governance,  political  connections,and  leverage against tax evasion. Businesses will be observed is a company registered in the  Indonesia  Stock  Exchange  during  2011-2015.  Companies  that  used  to  sample  after deducting some of the criteria were 62 observations. Analysis of data using multiple linear regression. Variable  tax evasion proxied by  Cash ETR. The results showed that corporate governance,  political  connections,andleverage  effect  simultaneously  against  tax  evasion. Corporate  governance  and  leverage  effect  on  tax  evasion.  Political  connections  has  no effect on tax evasion.","author":[{"dropping-particle":"","family":"Ayu","given":"Gusti","non-dropping-particle":"","parse-names":false,"suffix":""},{"dropping-particle":"","family":"Lestari","given":"Widya","non-dropping-particle":"","parse-names":false,"suffix":""},{"dropping-particle":"","family":"Putri","given":"I G A M Asri Dwija","non-dropping-particle":"","parse-names":false,"suffix":""}],"container-title":"E-Jurnal Akuntansi","id":"ITEM-1","issue":"3","issued":{"date-parts":[["2017"]]},"page":"2028-2054","title":"Pengaruh Corporate Governance, Koneksi Politik, Dan Leverage Terhadap Penghindaran Pajak","type":"article-journal","volume":"18"},"uris":["http://www.mendeley.com/documents/?uuid=65379395-45d3-447d-85eb-e937d59deef5"]}],"mendeley":{"formattedCitation":"(Ayu et al., 2017)","manualFormatting":"Ayu et al., (2017)","plainTextFormattedCitation":"(Ayu et al., 2017)","previouslyFormattedCitation":"(Ayu et al., 2017)"},"properties":{"noteIndex":0},"schema":"https://github.com/citation-style-language/schema/raw/master/csl-citation.json"}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Ayu et al., (2017)</w:t>
      </w:r>
      <w:r w:rsidRPr="000D7B4C">
        <w:rPr>
          <w:color w:val="0D0D0D" w:themeColor="text1" w:themeTint="F2"/>
          <w:sz w:val="24"/>
          <w:szCs w:val="24"/>
        </w:rPr>
        <w:fldChar w:fldCharType="end"/>
      </w:r>
      <w:r w:rsidRPr="000D7B4C">
        <w:rPr>
          <w:color w:val="0D0D0D" w:themeColor="text1" w:themeTint="F2"/>
          <w:sz w:val="24"/>
          <w:szCs w:val="24"/>
        </w:rPr>
        <w:t xml:space="preserve"> who explained that companies with more debt have a good effective tax rate, this means that with a large amount of debt, the company's efforts to do tax avoidance will tend to be smaller. Other studies from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{"citationItems":[{"id":"ITEM-1","itemData":{"DOI":"10.15640/ijat.v5n2a3","ISSN":"23724978","abstract":"Penelitian ini bertujuan untuk menguji pengaruh leverage, kepemilikan institusional, komite audit, pertumbuhan penjualan, profitabilitas dan ukuran perusahaan pada penghindaran pajak. Penelitian ini dilakukan di Indonesia dengan menggunakan perusahaan manufaktur unit analisis yang telah go public. Populasi penelitian ini adalah perusahaan manufaktur yang terdaftar di Bursa Efek Indonesia. Metode pengambilan sampel menggunakan purposive sampling dengan masa studi 2014 hingga 2017 dan diperoleh sebanyak 127 perusahaan. Teknik analisis data menggunakan analisis regresi berganda. Hasil penelitian ini menunjukkan bahwa leverage, Kepemilikan Institusional dan Komite Audit positif tidak signifikan pada Penghindaran Pajak. Pertumbuhan Penjualan negatif tidak signifikan pada Penghindaran Pajak. Profitabilitas positif signifikan terhadap Penghindaran Pajak. Ukuran Perusahaan negatif signifikan pada Penghindaran Pajak.","author":[{"dropping-particle":"","family":"Kurniasih","given":"Tommy","non-dropping-particle":"","parse-names":false,"suffix":""},{"dropping-particle":"","family":"Sari","given":"Maria M Ratna","non-dropping-particle":"","parse-names":false,"suffix":""}],"container-title":"International Journal of Accounting and Taxation","id":"ITEM-1","issue":"2","issued":{"date-parts":[["2017"]]},"page":"58-66","title":"The Influence of Profitability, Leverage, Firm Size and Capital Intensity Towards Tax Avoidance","type":"article-journal","volume":"5"},"uris":["http://www.mendeley.com/documents/?uuid=6a9c7b5f-32ed-439e-b265-e291a1c39719"]}],"mendeley":{"formattedCitation":"(Kurniasih &amp; Sari, 2017)","manualFormatting":"Kurniasih &amp; Sari (2017)","plainTextFormattedCitation":"(Kurniasih &amp; Sari, 2017)","previouslyFormattedCitation":"(Kurniasih &amp; Sari, 2017)"},"properties":{"noteIndex":0},"schema":"https://github.com/citation-style-language/schema/raw/master/csl-citation.json"}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Kurniasih &amp; Sari (2017)</w:t>
      </w:r>
      <w:r w:rsidRPr="000D7B4C">
        <w:rPr>
          <w:color w:val="0D0D0D" w:themeColor="text1" w:themeTint="F2"/>
          <w:sz w:val="24"/>
          <w:szCs w:val="24"/>
        </w:rPr>
        <w:fldChar w:fldCharType="end"/>
      </w:r>
      <w:r w:rsidRPr="000D7B4C">
        <w:rPr>
          <w:color w:val="0D0D0D" w:themeColor="text1" w:themeTint="F2"/>
          <w:sz w:val="24"/>
          <w:szCs w:val="24"/>
        </w:rPr>
        <w:t xml:space="preserve">;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{"citationItems":[{"id":"ITEM-1","itemData":{"ISSN":"2302-8556","abstract":"Reliable field methods for the storage of tissues to be used for DNA extraction and amplification are critical to many studies employing molecular techniques. Protection from DNA degradation was compared among three commonly used methods of noncryogenic storage of tissues ...","author":[{"dropping-particle":"","family":"Darmawan","given":"I","non-dropping-particle":"","parse-names":false,"suffix":""},{"dropping-particle":"","family":"Sukartha","given":"I","non-dropping-particle":"","parse-names":false,"suffix":""}],"container-title":"E-Jurnal Akuntansi","id":"ITEM-1","issue":"1","issued":{"date-parts":[["2014"]]},"page":"143-161","title":"Pengaruh Penerapan Corporate Governance, Leverage, Roa, Dan Ukuran Perusahaan Pada Penghindaran Pajak","type":"article-journal","volume":"9"},"uris":["http://www.mendeley.com/documents/?uuid=dc8705dc-0a32-44f2-ab1e-fe694eb504ce"]}],"mendeley":{"formattedCitation":"(Darmawan &amp; Sukartha, 2014)","manualFormatting":"(armawan &amp; Sukartha (2014)","plainTextFormattedCitation":"(Darmawan &amp; Sukartha, 2014)","previouslyFormattedCitation":"(Darmawan &amp; Sukartha, 2014)"},"properties":{"noteIndex":0},"schema":"https://github.com/citation-style-language/schema/raw/master/csl-citation.json"}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armawan &amp; Sukartha (2014)</w:t>
      </w:r>
      <w:r w:rsidRPr="000D7B4C">
        <w:rPr>
          <w:color w:val="0D0D0D" w:themeColor="text1" w:themeTint="F2"/>
          <w:sz w:val="24"/>
          <w:szCs w:val="24"/>
        </w:rPr>
        <w:fldChar w:fldCharType="end"/>
      </w:r>
      <w:r w:rsidRPr="000D7B4C">
        <w:rPr>
          <w:color w:val="0D0D0D" w:themeColor="text1" w:themeTint="F2"/>
          <w:sz w:val="24"/>
          <w:szCs w:val="24"/>
        </w:rPr>
        <w:t xml:space="preserve"> show that leverage has no significant effect on tax avoidance. </w:t>
      </w:r>
      <w:r w:rsidRPr="000D7B4C">
        <w:rPr>
          <w:sz w:val="24"/>
          <w:szCs w:val="24"/>
        </w:rPr>
        <w:t>Therefore, the third hypothesis in the study is:</w:t>
      </w:r>
    </w:p>
    <w:p w14:paraId="4C2979F7" w14:textId="77777777" w:rsidR="000D7B4C" w:rsidRPr="000D7B4C" w:rsidRDefault="000D7B4C" w:rsidP="000D7B4C">
      <w:pPr>
        <w:ind w:left="142"/>
        <w:jc w:val="both"/>
        <w:rPr>
          <w:sz w:val="24"/>
          <w:szCs w:val="24"/>
        </w:rPr>
      </w:pPr>
      <w:r w:rsidRPr="000D7B4C">
        <w:rPr>
          <w:b/>
          <w:sz w:val="24"/>
          <w:szCs w:val="24"/>
        </w:rPr>
        <w:t>H2</w:t>
      </w:r>
      <w:r w:rsidRPr="000D7B4C">
        <w:rPr>
          <w:sz w:val="24"/>
          <w:szCs w:val="24"/>
        </w:rPr>
        <w:t>: There are positive effects of the leverage on the tax avoidance</w:t>
      </w:r>
    </w:p>
    <w:p w14:paraId="469670AF" w14:textId="77777777" w:rsidR="000C43E5" w:rsidRDefault="000C43E5" w:rsidP="000D7B4C">
      <w:pPr>
        <w:ind w:left="142"/>
        <w:jc w:val="both"/>
        <w:rPr>
          <w:b/>
          <w:bCs/>
          <w:sz w:val="24"/>
          <w:szCs w:val="24"/>
          <w:lang w:val="en-US"/>
        </w:rPr>
      </w:pPr>
    </w:p>
    <w:p w14:paraId="6E38DC88" w14:textId="759A96C1" w:rsidR="000D7B4C" w:rsidRPr="000D7B4C" w:rsidRDefault="000D7B4C" w:rsidP="000D7B4C">
      <w:pPr>
        <w:ind w:left="142"/>
        <w:jc w:val="both"/>
        <w:rPr>
          <w:b/>
          <w:bCs/>
          <w:sz w:val="24"/>
          <w:szCs w:val="24"/>
        </w:rPr>
      </w:pPr>
      <w:r>
        <w:rPr>
          <w:b/>
          <w:bCs/>
          <w:sz w:val="24"/>
          <w:szCs w:val="24"/>
          <w:lang w:val="en-US"/>
        </w:rPr>
        <w:t xml:space="preserve">The Effect of </w:t>
      </w:r>
      <w:r w:rsidRPr="000D7B4C">
        <w:rPr>
          <w:b/>
          <w:bCs/>
          <w:sz w:val="24"/>
          <w:szCs w:val="24"/>
        </w:rPr>
        <w:t xml:space="preserve">Liquidity and </w:t>
      </w:r>
      <w:r>
        <w:rPr>
          <w:b/>
          <w:bCs/>
          <w:sz w:val="24"/>
          <w:szCs w:val="24"/>
          <w:lang w:val="en-US"/>
        </w:rPr>
        <w:t>on</w:t>
      </w:r>
      <w:r w:rsidRPr="000D7B4C">
        <w:rPr>
          <w:b/>
          <w:bCs/>
          <w:sz w:val="24"/>
          <w:szCs w:val="24"/>
        </w:rPr>
        <w:t xml:space="preserve"> tax avoidance</w:t>
      </w:r>
    </w:p>
    <w:p w14:paraId="16714B83" w14:textId="77777777" w:rsidR="000D7B4C" w:rsidRPr="000D7B4C" w:rsidRDefault="000D7B4C" w:rsidP="000D7B4C">
      <w:pPr>
        <w:ind w:left="142" w:firstLine="425"/>
        <w:jc w:val="both"/>
        <w:rPr>
          <w:sz w:val="24"/>
          <w:szCs w:val="24"/>
        </w:rPr>
      </w:pPr>
      <w:r w:rsidRPr="000D7B4C">
        <w:rPr>
          <w:color w:val="0D0D0D" w:themeColor="text1" w:themeTint="F2"/>
          <w:sz w:val="24"/>
          <w:szCs w:val="24"/>
        </w:rPr>
        <w:t xml:space="preserve">Liquidity ratio shows the level of the company's ability to pay its short-term debt. This ratio compares current assets to current liabilities owned by the company. The greater the current ratio, the better the company's ability to pay current liabilities. Several studies have shown that the current ratio has an effect on corporate tax avoidance.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{"citationItems":[{"id":"ITEM-1","itemData":{"DOI":"10.30596/jrab.v20i1.4755","ISSN":"16937597","abstract":"penelitian ini bertujuan untuk mengetahui seberapa besar likuiditas dan leverage berpengaruh terhadap penghindaraan pajak pada perusahaan pada perusahaan sub sektor makanan dan minuman yang di BEI. Metode yang digunakan dalam penelitian ini adalah deskriptif kuantitatif yakni penelitian yang berupaya untuk mengkaji dan menjelaskan bagaimana suatu variabel independen mempengaruhi variabel dependen. Populasi Populasi dan sampel dalam penelitian ini perusahaan makanan dan minuman sebanyak 12 perusahaan tetapi ada 2 perusahaan yang terdaftar sejak tahun 2017 tidak menerbitkan laporan keuangan. periode 4 tahun pengamatan dari tahun 2016-2019 dengan menggunakan laporan keuangan tahunan, sehingga total sampel sebanyak 40 pengamatan pengumpulan data pada penelitian ini yaitu dengan menggunakan data dokumentasi dengan jenis dan sumber data kuantitatif yang di peroleh dari www.idx.co.id. Teknik analisis data yang digunakan yaitu analisis regresi linier berganda Berdasarkan hasil pengujian menunjukan bahwa Likuiditas berpengaruh terhadap Penghindaran Pajak, Levarage berpengaruh terhadap penghindaran pajak. Tetapi secara simultan Likuiditas dan Levarage berpengaruh terhadap penghindaran pajak.","author":[{"dropping-particle":"","family":"Abdullah","given":"Ikhsan","non-dropping-particle":"","parse-names":false,"suffix":""}],"container-title":"Jurnal Riset Akuntansi dan Bisnis","id":"ITEM-1","issue":"1","issued":{"date-parts":[["2020"]]},"page":"16-22","title":"Pengaruh Likuiditas Dan Leverage Terhadap Penghindaran Pajak Pada Perusahaan Makanan Dan Minuman","type":"article-journal","volume":"20"},"uris":["http://www.mendeley.com/documents/?uuid=6961534c-4f5e-4dd7-ac9c-7479781af96b"]}],"mendeley":{"formattedCitation":"(Abdullah, 2020)","manualFormatting":"Abdullah (2020)","plainTextFormattedCitation":"(Abdullah, 2020)","previouslyFormattedCitation":"(Abdullah, 2020)"},"properties":{"noteIndex":0},"schema":"https://github.com/citation-style-language/schema/raw/master/csl-citation.json"}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Abdullah (2020)</w:t>
      </w:r>
      <w:r w:rsidRPr="000D7B4C">
        <w:rPr>
          <w:color w:val="0D0D0D" w:themeColor="text1" w:themeTint="F2"/>
          <w:sz w:val="24"/>
          <w:szCs w:val="24"/>
        </w:rPr>
        <w:fldChar w:fldCharType="end"/>
      </w:r>
      <w:r w:rsidRPr="000D7B4C">
        <w:rPr>
          <w:color w:val="0D0D0D" w:themeColor="text1" w:themeTint="F2"/>
          <w:sz w:val="24"/>
          <w:szCs w:val="24"/>
        </w:rPr>
        <w:t xml:space="preserve"> proves that Liquidity and Levarage affect Tax Avoidance. </w:t>
      </w:r>
      <w:r w:rsidRPr="000D7B4C">
        <w:rPr>
          <w:color w:val="0D0D0D" w:themeColor="text1" w:themeTint="F2"/>
          <w:sz w:val="24"/>
          <w:szCs w:val="24"/>
        </w:rPr>
        <w:fldChar w:fldCharType="begin" w:fldLock="1"/>
      </w:r>
      <w:r w:rsidRPr="000D7B4C">
        <w:rPr>
          <w:color w:val="0D0D0D" w:themeColor="text1" w:themeTint="F2"/>
          <w:sz w:val="24"/>
          <w:szCs w:val="24"/>
        </w:rPr>
        <w:instrText>ADDIN CSL_CITATION {"citationItems":[{"id":"ITEM-1","itemData":{"abstract":"Adanya perbedaan kepentingan antara Pemerintah dengan Wajib Pajak menimbulkan tindakan penghindaran pajak (tax avoidance) oleh Wajib Pajak dalam bentuk memanfaatkan celah Undang-Undang Perpajakan. Penelitian ini bertujuan untuk mengetahui seberapa besar pengatruh profitabilitas, likuiditas dan capital intensity terhadap penghindaran pajak (tax avoidance) pada perusahaan sub sektor manufaktur consumer goods yang terdaftar di Bursa Efek Indonesia periode 2013-2016. Penelitian ini menggunakan kriteria purposive sampling dengan metode analisis data panel. Berdasarkan data penlitian diperoleh hasil bahwa profitabilitas berpengaruh negarif terhadap penghindaran pajak pada tingkat signifikan α1%, likuiditas berpengaruh positif pada tingkat signifikan α10% dan capital intensity berpengaruh negatif pada tingkat signifikan α5%.","author":[{"dropping-particle":"","family":"Budianti","given":"Shinta","non-dropping-particle":"","parse-names":false,"suffix":""},{"dropping-particle":"","family":"Curry","given":"Khristina","non-dropping-particle":"","parse-names":false,"suffix":""}],"container-title":"Prosiding Seminar Nasional Cendekiawan 4","id":"ITEM-1","issued":{"date-parts":[["2018"]]},"page":"Jakarta","title":"Pengaruh Profitabilitas, likuiditas, dan Capital Intensity Terhadap Penghindaran Pajak (Tax Avoidance)","type":"article-journal"},"uris":["http://www.mendeley.com/documents/?uuid=e6dfb8b3-484a-4884-8f2a-b55f7fff9db8"]}],"mendeley":{"formattedCitation":"(Budianti &amp; Curry, 2018)","manualFormatting":"Budianti &amp; Curry (2018)","plainTextFormattedCitation":"(Budianti &amp; Curry, 2018)","previouslyFormattedCitation":"(Budianti &amp; Curry, 2018)"},"properties":{"noteIndex":0},"schema":"https://github.com/citation-style-language/schema/raw/master/csl-citation.json"}</w:instrText>
      </w:r>
      <w:r w:rsidRPr="000D7B4C">
        <w:rPr>
          <w:color w:val="0D0D0D" w:themeColor="text1" w:themeTint="F2"/>
          <w:sz w:val="24"/>
          <w:szCs w:val="24"/>
        </w:rPr>
        <w:fldChar w:fldCharType="separate"/>
      </w:r>
      <w:r w:rsidRPr="000D7B4C">
        <w:rPr>
          <w:noProof/>
          <w:color w:val="0D0D0D" w:themeColor="text1" w:themeTint="F2"/>
          <w:sz w:val="24"/>
          <w:szCs w:val="24"/>
        </w:rPr>
        <w:t>Budianti &amp; Curry (2018)</w:t>
      </w:r>
      <w:r w:rsidRPr="000D7B4C">
        <w:rPr>
          <w:color w:val="0D0D0D" w:themeColor="text1" w:themeTint="F2"/>
          <w:sz w:val="24"/>
          <w:szCs w:val="24"/>
        </w:rPr>
        <w:fldChar w:fldCharType="end"/>
      </w:r>
      <w:r w:rsidRPr="000D7B4C">
        <w:rPr>
          <w:color w:val="0D0D0D" w:themeColor="text1" w:themeTint="F2"/>
          <w:sz w:val="24"/>
          <w:szCs w:val="24"/>
        </w:rPr>
        <w:t xml:space="preserve"> also proves that profitability has a negative effect on tax avoidance at a significant level of α1%, liquidity has a positive effect at a significant level of α10% and capital intensity has a negative effect on a significant level of α5%. </w:t>
      </w:r>
      <w:r w:rsidRPr="000D7B4C">
        <w:rPr>
          <w:sz w:val="24"/>
          <w:szCs w:val="24"/>
        </w:rPr>
        <w:t>Therefore, the second hypothesis in the study is:</w:t>
      </w:r>
    </w:p>
    <w:p w14:paraId="136AAF0B" w14:textId="77777777" w:rsidR="000D7B4C" w:rsidRPr="000D7B4C" w:rsidRDefault="000D7B4C" w:rsidP="000D7B4C">
      <w:pPr>
        <w:ind w:left="142"/>
        <w:jc w:val="both"/>
        <w:rPr>
          <w:sz w:val="24"/>
          <w:szCs w:val="24"/>
        </w:rPr>
      </w:pPr>
      <w:r w:rsidRPr="000D7B4C">
        <w:rPr>
          <w:b/>
          <w:sz w:val="24"/>
          <w:szCs w:val="24"/>
        </w:rPr>
        <w:t>H3</w:t>
      </w:r>
      <w:r w:rsidRPr="000D7B4C">
        <w:rPr>
          <w:sz w:val="24"/>
          <w:szCs w:val="24"/>
        </w:rPr>
        <w:t>: There are negative effects of the liquidity  on the tax avoidance</w:t>
      </w:r>
    </w:p>
    <w:p w14:paraId="78E83211" w14:textId="77777777" w:rsidR="000C43E5" w:rsidRDefault="000C43E5" w:rsidP="000C43E5">
      <w:pPr>
        <w:ind w:left="142"/>
        <w:jc w:val="both"/>
        <w:rPr>
          <w:color w:val="000000"/>
        </w:rPr>
      </w:pPr>
    </w:p>
    <w:p w14:paraId="24D6E3EF" w14:textId="4FA49B57" w:rsidR="000C43E5" w:rsidRPr="00634112" w:rsidRDefault="000C43E5" w:rsidP="000C43E5">
      <w:pPr>
        <w:ind w:left="142"/>
        <w:jc w:val="both"/>
        <w:rPr>
          <w:color w:val="000000"/>
        </w:rPr>
      </w:pPr>
      <w:r w:rsidRPr="00634112">
        <w:rPr>
          <w:color w:val="000000"/>
        </w:rPr>
        <w:t>Based on the description, the framework of this research is as follows figure 1:</w:t>
      </w:r>
    </w:p>
    <w:p w14:paraId="62F3068A" w14:textId="77777777" w:rsidR="000C43E5" w:rsidRPr="00634112" w:rsidRDefault="000C43E5" w:rsidP="000C43E5">
      <w:pPr>
        <w:ind w:left="142"/>
        <w:jc w:val="both"/>
        <w:rPr>
          <w:color w:val="000000"/>
        </w:rPr>
      </w:pPr>
      <w:r w:rsidRPr="00634112">
        <w:rPr>
          <w:noProof/>
          <w:color w:val="000000"/>
          <w:lang w:val="en-US"/>
        </w:rPr>
        <mc:AlternateContent>
          <mc:Choice Requires="wpg">
            <w:drawing>
              <wp:anchor distT="0" distB="0" distL="114300" distR="114300" simplePos="0" relativeHeight="251662336" behindDoc="0" locked="0" layoutInCell="1" allowOverlap="1" wp14:anchorId="301C5B42" wp14:editId="4AE5B9EF">
                <wp:simplePos x="0" y="0"/>
                <wp:positionH relativeFrom="column">
                  <wp:posOffset>111652</wp:posOffset>
                </wp:positionH>
                <wp:positionV relativeFrom="paragraph">
                  <wp:posOffset>25723</wp:posOffset>
                </wp:positionV>
                <wp:extent cx="2670269" cy="1171396"/>
                <wp:effectExtent l="19050" t="19050" r="15875" b="10160"/>
                <wp:wrapNone/>
                <wp:docPr id="2" name="Group 2"/>
                <wp:cNvGraphicFramePr/>
                <a:graphic xmlns:a="http://schemas.openxmlformats.org/drawingml/2006/main">
                  <a:graphicData uri="http://schemas.microsoft.com/office/word/2010/wordprocessingGroup">
                    <wpg:wgp>
                      <wpg:cNvGrpSpPr/>
                      <wpg:grpSpPr>
                        <a:xfrm>
                          <a:off x="0" y="0"/>
                          <a:ext cx="2670269" cy="1171396"/>
                          <a:chOff x="0" y="0"/>
                          <a:chExt cx="2670269" cy="1171396"/>
                        </a:xfrm>
                      </wpg:grpSpPr>
                      <wps:wsp>
                        <wps:cNvPr id="3" name="Rectangle 3"/>
                        <wps:cNvSpPr/>
                        <wps:spPr>
                          <a:xfrm>
                            <a:off x="13647" y="0"/>
                            <a:ext cx="943117" cy="2762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2FB151" w14:textId="77777777" w:rsidR="000C43E5" w:rsidRPr="00F576F6" w:rsidRDefault="000C43E5" w:rsidP="000C43E5">
                              <w:pPr>
                                <w:jc w:val="center"/>
                                <w:rPr>
                                  <w:b/>
                                  <w:bCs/>
                                  <w:color w:val="000000" w:themeColor="text1"/>
                                </w:rPr>
                              </w:pPr>
                              <w:r w:rsidRPr="00F576F6">
                                <w:rPr>
                                  <w:b/>
                                  <w:bCs/>
                                  <w:color w:val="000000" w:themeColor="text1"/>
                                </w:rPr>
                                <w:t>Profitability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3647" y="423080"/>
                            <a:ext cx="942975" cy="2762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8A47DE" w14:textId="77777777" w:rsidR="000C43E5" w:rsidRPr="00F576F6" w:rsidRDefault="000C43E5" w:rsidP="000C43E5">
                              <w:pPr>
                                <w:jc w:val="center"/>
                                <w:rPr>
                                  <w:b/>
                                  <w:bCs/>
                                  <w:color w:val="000000" w:themeColor="text1"/>
                                </w:rPr>
                              </w:pPr>
                              <w:r>
                                <w:rPr>
                                  <w:b/>
                                  <w:bCs/>
                                  <w:color w:val="000000" w:themeColor="text1"/>
                                </w:rPr>
                                <w:t>Leverage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838560"/>
                            <a:ext cx="929469" cy="332836"/>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AD5975" w14:textId="77777777" w:rsidR="000C43E5" w:rsidRPr="00F576F6" w:rsidRDefault="000C43E5" w:rsidP="000C43E5">
                              <w:pPr>
                                <w:jc w:val="center"/>
                                <w:rPr>
                                  <w:b/>
                                  <w:bCs/>
                                  <w:color w:val="000000" w:themeColor="text1"/>
                                </w:rPr>
                              </w:pPr>
                              <w:r>
                                <w:rPr>
                                  <w:b/>
                                  <w:bCs/>
                                  <w:color w:val="000000" w:themeColor="text1"/>
                                </w:rPr>
                                <w:t>Liquidity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555844" y="348017"/>
                            <a:ext cx="1114425" cy="2762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63977C" w14:textId="77777777" w:rsidR="000C43E5" w:rsidRPr="00F576F6" w:rsidRDefault="000C43E5" w:rsidP="000C43E5">
                              <w:pPr>
                                <w:jc w:val="center"/>
                                <w:rPr>
                                  <w:b/>
                                  <w:bCs/>
                                  <w:color w:val="000000" w:themeColor="text1"/>
                                </w:rPr>
                              </w:pPr>
                              <w:r>
                                <w:rPr>
                                  <w:b/>
                                  <w:bCs/>
                                  <w:color w:val="000000" w:themeColor="text1"/>
                                </w:rPr>
                                <w:t>Tax avoidance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963588" y="110603"/>
                            <a:ext cx="539087" cy="3207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flipV="1">
                            <a:off x="977236" y="488476"/>
                            <a:ext cx="539087"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flipV="1">
                            <a:off x="956764" y="605903"/>
                            <a:ext cx="558952" cy="4114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301C5B42" id="Group 2" o:spid="_x0000_s1026" style="position:absolute;left:0;text-align:left;margin-left:8.8pt;margin-top:2.05pt;width:210.25pt;height:92.25pt;z-index:251662336;mso-height-relative:margin" coordsize="26702,1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">
                <v:rect id="Rectangle 3" o:spid="_x0000_s1027" style="position:absolute;left:136;width:943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" fillcolor="white [3201]" strokecolor="black [3213]" strokeweight="2.25pt">
                  <v:textbox>
                    <w:txbxContent>
                      <w:p w14:paraId="5C2FB151" w14:textId="77777777" w:rsidR="000C43E5" w:rsidRPr="00F576F6" w:rsidRDefault="000C43E5" w:rsidP="000C43E5">
                        <w:pPr>
                          <w:jc w:val="center"/>
                          <w:rPr>
                            <w:b/>
                            <w:bCs/>
                            <w:color w:val="000000" w:themeColor="text1"/>
                          </w:rPr>
                        </w:pPr>
                        <w:r w:rsidRPr="00F576F6">
                          <w:rPr>
                            <w:b/>
                            <w:bCs/>
                            <w:color w:val="000000" w:themeColor="text1"/>
                          </w:rPr>
                          <w:t>Profitability</w:t>
                        </w:r>
                      </w:p>
                    </w:txbxContent>
                  </v:textbox>
                </v:rect>
                <v:rect id="Rectangle 4" o:spid="_x0000_s1028" style="position:absolute;left:136;top:4230;width:9430;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" fillcolor="white [3201]" strokecolor="black [3213]" strokeweight="2.25pt">
                  <v:textbox>
                    <w:txbxContent>
                      <w:p w14:paraId="4E8A47DE" w14:textId="77777777" w:rsidR="000C43E5" w:rsidRPr="00F576F6" w:rsidRDefault="000C43E5" w:rsidP="000C43E5">
                        <w:pPr>
                          <w:jc w:val="center"/>
                          <w:rPr>
                            <w:b/>
                            <w:bCs/>
                            <w:color w:val="000000" w:themeColor="text1"/>
                          </w:rPr>
                        </w:pPr>
                        <w:r>
                          <w:rPr>
                            <w:b/>
                            <w:bCs/>
                            <w:color w:val="000000" w:themeColor="text1"/>
                          </w:rPr>
                          <w:t>Leverage</w:t>
                        </w:r>
                      </w:p>
                    </w:txbxContent>
                  </v:textbox>
                </v:rect>
                <v:rect id="Rectangle 5" o:spid="_x0000_s1029" style="position:absolute;top:8385;width:9294;height:3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" fillcolor="white [3201]" strokecolor="black [3213]" strokeweight="2.25pt">
                  <v:textbox>
                    <w:txbxContent>
                      <w:p w14:paraId="0CAD5975" w14:textId="77777777" w:rsidR="000C43E5" w:rsidRPr="00F576F6" w:rsidRDefault="000C43E5" w:rsidP="000C43E5">
                        <w:pPr>
                          <w:jc w:val="center"/>
                          <w:rPr>
                            <w:b/>
                            <w:bCs/>
                            <w:color w:val="000000" w:themeColor="text1"/>
                          </w:rPr>
                        </w:pPr>
                        <w:r>
                          <w:rPr>
                            <w:b/>
                            <w:bCs/>
                            <w:color w:val="000000" w:themeColor="text1"/>
                          </w:rPr>
                          <w:t>Liquidity</w:t>
                        </w:r>
                      </w:p>
                    </w:txbxContent>
                  </v:textbox>
                </v:rect>
                <v:rect id="Rectangle 6" o:spid="_x0000_s1030" style="position:absolute;left:15558;top:3480;width:1114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" fillcolor="white [3201]" strokecolor="black [3213]" strokeweight="2.25pt">
                  <v:textbox>
                    <w:txbxContent>
                      <w:p w14:paraId="4863977C" w14:textId="77777777" w:rsidR="000C43E5" w:rsidRPr="00F576F6" w:rsidRDefault="000C43E5" w:rsidP="000C43E5">
                        <w:pPr>
                          <w:jc w:val="center"/>
                          <w:rPr>
                            <w:b/>
                            <w:bCs/>
                            <w:color w:val="000000" w:themeColor="text1"/>
                          </w:rPr>
                        </w:pPr>
                        <w:r>
                          <w:rPr>
                            <w:b/>
                            <w:bCs/>
                            <w:color w:val="000000" w:themeColor="text1"/>
                          </w:rPr>
                          <w:t xml:space="preserve">Tax </w:t>
                        </w:r>
                        <w:r>
                          <w:rPr>
                            <w:b/>
                            <w:bCs/>
                            <w:color w:val="000000" w:themeColor="text1"/>
                          </w:rPr>
                          <w:t>avoidance</w:t>
                        </w:r>
                      </w:p>
                    </w:txbxContent>
                  </v:textbox>
                </v:rect>
                <v:shapetype id="_x0000_t32" coordsize="21600,21600" o:spt="32" o:oned="t" path="m,l21600,21600e" filled="f">
                  <v:path arrowok="t" fillok="f" o:connecttype="none"/>
                  <o:lock v:ext="edit" shapetype="t"/>
                </v:shapetype>
                <v:shape id="Straight Arrow Connector 7" o:spid="_x0000_s1031" type="#_x0000_t32" style="position:absolute;left:9635;top:1106;width:5391;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" strokecolor="black [3040]">
                  <v:stroke endarrow="block"/>
                </v:shape>
                <v:shape id="Straight Arrow Connector 8" o:spid="_x0000_s1032" type="#_x0000_t32" style="position:absolute;left:9772;top:4884;width:5391;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" strokecolor="black [3040]">
                  <v:stroke endarrow="block"/>
                </v:shape>
                <v:shape id="Straight Arrow Connector 9" o:spid="_x0000_s1033" type="#_x0000_t32" style="position:absolute;left:9567;top:6059;width:5590;height:41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" strokecolor="black [3040]">
                  <v:stroke endarrow="block"/>
                </v:shape>
              </v:group>
            </w:pict>
          </mc:Fallback>
        </mc:AlternateContent>
      </w:r>
    </w:p>
    <w:p w14:paraId="204EB73F" w14:textId="77777777" w:rsidR="000C43E5" w:rsidRPr="00634112" w:rsidRDefault="000C43E5" w:rsidP="000C43E5">
      <w:pPr>
        <w:ind w:left="142"/>
        <w:jc w:val="both"/>
        <w:rPr>
          <w:color w:val="000000"/>
        </w:rPr>
      </w:pPr>
    </w:p>
    <w:p w14:paraId="06D8C0EF" w14:textId="77777777" w:rsidR="000C43E5" w:rsidRPr="00634112" w:rsidRDefault="000C43E5" w:rsidP="000C43E5">
      <w:pPr>
        <w:ind w:left="142"/>
        <w:jc w:val="both"/>
        <w:rPr>
          <w:color w:val="000000"/>
        </w:rPr>
      </w:pPr>
    </w:p>
    <w:p w14:paraId="446E4A85" w14:textId="77777777" w:rsidR="000C43E5" w:rsidRPr="00634112" w:rsidRDefault="000C43E5" w:rsidP="000C43E5">
      <w:pPr>
        <w:ind w:left="142"/>
        <w:jc w:val="both"/>
        <w:rPr>
          <w:color w:val="000000"/>
        </w:rPr>
      </w:pPr>
    </w:p>
    <w:p w14:paraId="562DA4E9" w14:textId="77777777" w:rsidR="000C43E5" w:rsidRPr="00634112" w:rsidRDefault="000C43E5" w:rsidP="000C43E5">
      <w:pPr>
        <w:ind w:left="142"/>
        <w:jc w:val="both"/>
        <w:rPr>
          <w:color w:val="000000"/>
        </w:rPr>
      </w:pPr>
    </w:p>
    <w:p w14:paraId="7A280ED6" w14:textId="42ED2087" w:rsidR="00C40A65" w:rsidRDefault="00C40A65" w:rsidP="00C40A65">
      <w:pPr>
        <w:pStyle w:val="BodyText"/>
        <w:ind w:left="670" w:right="1316" w:firstLine="770"/>
        <w:jc w:val="both"/>
        <w:rPr>
          <w:sz w:val="27"/>
        </w:rPr>
      </w:pPr>
    </w:p>
    <w:p w14:paraId="1E05B64F" w14:textId="77777777" w:rsidR="000C43E5" w:rsidRPr="00AF441C" w:rsidRDefault="000C43E5" w:rsidP="00C40A65">
      <w:pPr>
        <w:pStyle w:val="BodyText"/>
        <w:ind w:left="670" w:right="1316" w:firstLine="770"/>
        <w:jc w:val="both"/>
        <w:rPr>
          <w:sz w:val="27"/>
        </w:rPr>
      </w:pPr>
    </w:p>
    <w:p w14:paraId="67104100" w14:textId="77777777" w:rsidR="000C43E5" w:rsidRPr="000C43E5" w:rsidRDefault="000C43E5" w:rsidP="000C43E5">
      <w:pPr>
        <w:pStyle w:val="Heading1"/>
        <w:ind w:left="709" w:right="853"/>
        <w:jc w:val="left"/>
      </w:pPr>
    </w:p>
    <w:p w14:paraId="6DCE313C" w14:textId="7ED5B1BB" w:rsidR="00C40A65" w:rsidRDefault="00C40A65" w:rsidP="00E45AAD">
      <w:pPr>
        <w:pStyle w:val="Heading1"/>
        <w:numPr>
          <w:ilvl w:val="0"/>
          <w:numId w:val="5"/>
        </w:numPr>
        <w:ind w:left="709" w:right="853"/>
        <w:jc w:val="left"/>
      </w:pPr>
      <w:r w:rsidRPr="00364118">
        <w:rPr>
          <w:lang w:val="en-US"/>
        </w:rPr>
        <w:t>RESEARCH</w:t>
      </w:r>
      <w:r w:rsidRPr="0021158F">
        <w:t xml:space="preserve"> METHODOLOGY</w:t>
      </w:r>
    </w:p>
    <w:p w14:paraId="1A43B0A1" w14:textId="77777777" w:rsidR="001B5598" w:rsidRPr="001B5598" w:rsidRDefault="001B5598" w:rsidP="00C40A65">
      <w:pPr>
        <w:pStyle w:val="Heading1"/>
        <w:ind w:left="0" w:right="853"/>
        <w:jc w:val="left"/>
        <w:rPr>
          <w:b w:val="0"/>
          <w:bCs w:val="0"/>
        </w:rPr>
      </w:pPr>
    </w:p>
    <w:p w14:paraId="4C61E496" w14:textId="77777777" w:rsidR="000C43E5" w:rsidRPr="000C43E5" w:rsidRDefault="000C43E5" w:rsidP="000C43E5">
      <w:pPr>
        <w:ind w:left="142" w:firstLine="425"/>
        <w:jc w:val="both"/>
        <w:rPr>
          <w:sz w:val="24"/>
          <w:szCs w:val="24"/>
        </w:rPr>
      </w:pPr>
      <w:r w:rsidRPr="000C43E5">
        <w:rPr>
          <w:sz w:val="24"/>
          <w:szCs w:val="24"/>
        </w:rPr>
        <w:t xml:space="preserve">The data on this study was taken from the 2020 financial statements published on the Indonesian Stock Exchange. </w:t>
      </w:r>
    </w:p>
    <w:p w14:paraId="628B3046" w14:textId="77777777" w:rsidR="000C43E5" w:rsidRPr="000C43E5" w:rsidRDefault="000C43E5" w:rsidP="000C43E5">
      <w:pPr>
        <w:ind w:left="142" w:firstLine="425"/>
        <w:jc w:val="both"/>
        <w:rPr>
          <w:sz w:val="24"/>
          <w:szCs w:val="24"/>
        </w:rPr>
      </w:pPr>
      <w:r w:rsidRPr="000C43E5">
        <w:rPr>
          <w:sz w:val="24"/>
          <w:szCs w:val="24"/>
        </w:rPr>
        <w:lastRenderedPageBreak/>
        <w:t>The population in this study is that all companies included in the property, industrial, and infrastructure sectors are listed on the Indonesian Stock Exchange as many as 187 companies. Of these, 21 companies did not publish financial statements. So, it was decided on the number of samples studied as many as 166.</w:t>
      </w:r>
    </w:p>
    <w:p w14:paraId="10C7C8D8" w14:textId="77777777" w:rsidR="000C43E5" w:rsidRPr="000C43E5" w:rsidRDefault="000C43E5" w:rsidP="000C43E5">
      <w:pPr>
        <w:ind w:left="142" w:firstLine="425"/>
        <w:jc w:val="both"/>
        <w:rPr>
          <w:sz w:val="24"/>
          <w:szCs w:val="24"/>
        </w:rPr>
      </w:pPr>
      <w:r w:rsidRPr="000C43E5">
        <w:rPr>
          <w:sz w:val="24"/>
          <w:szCs w:val="24"/>
        </w:rPr>
        <w:t>The dependent variable in this study is tax avoidance (Y). Meanwhile, independent variables are profitability ratios (X1), current ratios (X2), and leverage (X3). The operational definition of each variable is described in the following:.</w:t>
      </w:r>
    </w:p>
    <w:p w14:paraId="5B70D105" w14:textId="77777777" w:rsidR="000C43E5" w:rsidRPr="000C43E5" w:rsidRDefault="000C43E5" w:rsidP="000C43E5">
      <w:pPr>
        <w:pStyle w:val="ListParagraph"/>
        <w:numPr>
          <w:ilvl w:val="0"/>
          <w:numId w:val="6"/>
        </w:numPr>
        <w:spacing w:line="240" w:lineRule="auto"/>
        <w:ind w:left="426" w:hanging="284"/>
        <w:rPr>
          <w:rFonts w:ascii="Times New Roman" w:hAnsi="Times New Roman" w:cs="Times New Roman"/>
          <w:b/>
          <w:bCs/>
          <w:sz w:val="24"/>
          <w:szCs w:val="24"/>
        </w:rPr>
      </w:pPr>
      <w:r w:rsidRPr="000C43E5">
        <w:rPr>
          <w:rFonts w:ascii="Times New Roman" w:hAnsi="Times New Roman" w:cs="Times New Roman"/>
          <w:b/>
          <w:bCs/>
          <w:sz w:val="24"/>
          <w:szCs w:val="24"/>
        </w:rPr>
        <w:t>Tax avoidance</w:t>
      </w:r>
    </w:p>
    <w:p w14:paraId="120FA2C2" w14:textId="77777777" w:rsidR="000C43E5" w:rsidRPr="000C43E5" w:rsidRDefault="000C43E5" w:rsidP="000C43E5">
      <w:pPr>
        <w:pStyle w:val="ListParagraph"/>
        <w:spacing w:after="0" w:line="240" w:lineRule="auto"/>
        <w:ind w:left="426"/>
        <w:rPr>
          <w:rFonts w:ascii="Times New Roman" w:hAnsi="Times New Roman" w:cs="Times New Roman"/>
          <w:sz w:val="24"/>
          <w:szCs w:val="24"/>
        </w:rPr>
      </w:pPr>
      <w:r w:rsidRPr="000C43E5">
        <w:rPr>
          <w:rFonts w:ascii="Times New Roman" w:hAnsi="Times New Roman" w:cs="Times New Roman"/>
          <w:sz w:val="24"/>
          <w:szCs w:val="24"/>
        </w:rPr>
        <w:t xml:space="preserve">The estimation model of tax avoidance measurement in this study uses the Cash Effective Tax Rate (CETR) model which is expected to be able to identify the aggressiveness of corporate tax planning using fixed differences or temporary differences. The tax avoidance formula according to </w:t>
      </w:r>
      <w:proofErr w:type="spellStart"/>
      <w:r w:rsidRPr="000C43E5">
        <w:rPr>
          <w:rFonts w:ascii="Times New Roman" w:hAnsi="Times New Roman" w:cs="Times New Roman"/>
          <w:sz w:val="24"/>
          <w:szCs w:val="24"/>
        </w:rPr>
        <w:t>Ngadiman</w:t>
      </w:r>
      <w:proofErr w:type="spellEnd"/>
      <w:r w:rsidRPr="000C43E5">
        <w:rPr>
          <w:rFonts w:ascii="Times New Roman" w:hAnsi="Times New Roman" w:cs="Times New Roman"/>
          <w:sz w:val="24"/>
          <w:szCs w:val="24"/>
        </w:rPr>
        <w:t xml:space="preserve"> and </w:t>
      </w:r>
      <w:proofErr w:type="spellStart"/>
      <w:r w:rsidRPr="000C43E5">
        <w:rPr>
          <w:rFonts w:ascii="Times New Roman" w:hAnsi="Times New Roman" w:cs="Times New Roman"/>
          <w:sz w:val="24"/>
          <w:szCs w:val="24"/>
        </w:rPr>
        <w:t>Puspitasari</w:t>
      </w:r>
      <w:proofErr w:type="spellEnd"/>
      <w:r w:rsidRPr="000C43E5">
        <w:rPr>
          <w:rFonts w:ascii="Times New Roman" w:hAnsi="Times New Roman" w:cs="Times New Roman"/>
          <w:sz w:val="24"/>
          <w:szCs w:val="24"/>
        </w:rPr>
        <w:t xml:space="preserve"> (2014) is:</w:t>
      </w:r>
    </w:p>
    <w:p w14:paraId="7CE39C34" w14:textId="77777777" w:rsidR="000C43E5" w:rsidRPr="000C43E5" w:rsidRDefault="000C43E5" w:rsidP="000C43E5">
      <w:pPr>
        <w:pStyle w:val="ListParagraph"/>
        <w:spacing w:after="0" w:line="240" w:lineRule="auto"/>
        <w:ind w:left="426"/>
        <w:rPr>
          <w:rFonts w:ascii="Times New Roman" w:hAnsi="Times New Roman" w:cs="Times New Roman"/>
          <w:bCs/>
          <w:sz w:val="24"/>
          <w:szCs w:val="24"/>
        </w:rPr>
      </w:pPr>
      <w:r w:rsidRPr="000C43E5">
        <w:rPr>
          <w:rFonts w:ascii="Times New Roman" w:hAnsi="Times New Roman" w:cs="Times New Roman"/>
          <w:sz w:val="24"/>
          <w:szCs w:val="24"/>
        </w:rPr>
        <w:t xml:space="preserve">CETR = </w:t>
      </w:r>
      <m:oMath>
        <m:f>
          <m:fPr>
            <m:ctrlPr>
              <w:rPr>
                <w:rFonts w:ascii="Cambria Math" w:hAnsi="Cambria Math" w:cs="Times New Roman"/>
                <w:i/>
                <w:sz w:val="24"/>
                <w:szCs w:val="24"/>
              </w:rPr>
            </m:ctrlPr>
          </m:fPr>
          <m:num>
            <m:r>
              <w:rPr>
                <w:rFonts w:ascii="Cambria Math" w:hAnsi="Cambria Math" w:cs="Times New Roman"/>
                <w:sz w:val="24"/>
                <w:szCs w:val="24"/>
              </w:rPr>
              <m:t>Tax Payment</m:t>
            </m:r>
          </m:num>
          <m:den>
            <m:r>
              <w:rPr>
                <w:rFonts w:ascii="Cambria Math" w:hAnsi="Cambria Math" w:cs="Times New Roman"/>
                <w:sz w:val="24"/>
                <w:szCs w:val="24"/>
              </w:rPr>
              <m:t>Profit Before Tax</m:t>
            </m:r>
          </m:den>
        </m:f>
      </m:oMath>
    </w:p>
    <w:p w14:paraId="42EC6BC7" w14:textId="77777777" w:rsidR="000C43E5" w:rsidRPr="000C43E5" w:rsidRDefault="000C43E5" w:rsidP="000C43E5">
      <w:pPr>
        <w:pStyle w:val="ListParagraph"/>
        <w:spacing w:line="240" w:lineRule="auto"/>
        <w:ind w:left="426"/>
        <w:rPr>
          <w:rFonts w:ascii="Times New Roman" w:hAnsi="Times New Roman" w:cs="Times New Roman"/>
          <w:sz w:val="24"/>
          <w:szCs w:val="24"/>
        </w:rPr>
      </w:pPr>
    </w:p>
    <w:p w14:paraId="02EF98EC" w14:textId="77777777" w:rsidR="000C43E5" w:rsidRPr="000C43E5" w:rsidRDefault="000C43E5" w:rsidP="000C43E5">
      <w:pPr>
        <w:pStyle w:val="ListParagraph"/>
        <w:numPr>
          <w:ilvl w:val="0"/>
          <w:numId w:val="6"/>
        </w:numPr>
        <w:spacing w:line="240" w:lineRule="auto"/>
        <w:ind w:left="426" w:hanging="284"/>
        <w:rPr>
          <w:rFonts w:ascii="Times New Roman" w:hAnsi="Times New Roman" w:cs="Times New Roman"/>
          <w:b/>
          <w:bCs/>
          <w:sz w:val="24"/>
          <w:szCs w:val="24"/>
        </w:rPr>
      </w:pPr>
      <w:r w:rsidRPr="000C43E5">
        <w:rPr>
          <w:rFonts w:ascii="Times New Roman" w:hAnsi="Times New Roman" w:cs="Times New Roman"/>
          <w:b/>
          <w:bCs/>
          <w:sz w:val="24"/>
          <w:szCs w:val="24"/>
        </w:rPr>
        <w:t>Profitability</w:t>
      </w:r>
    </w:p>
    <w:p w14:paraId="3CCA513A" w14:textId="77777777" w:rsidR="000C43E5" w:rsidRPr="000C43E5" w:rsidRDefault="000C43E5" w:rsidP="000C43E5">
      <w:pPr>
        <w:pStyle w:val="ListParagraph"/>
        <w:spacing w:after="0" w:line="240" w:lineRule="auto"/>
        <w:ind w:left="426"/>
        <w:rPr>
          <w:rFonts w:ascii="Times New Roman" w:hAnsi="Times New Roman" w:cs="Times New Roman"/>
          <w:sz w:val="24"/>
          <w:szCs w:val="24"/>
        </w:rPr>
      </w:pPr>
      <w:r w:rsidRPr="000C43E5">
        <w:rPr>
          <w:rFonts w:ascii="Times New Roman" w:hAnsi="Times New Roman" w:cs="Times New Roman"/>
          <w:sz w:val="24"/>
          <w:szCs w:val="24"/>
        </w:rPr>
        <w:t>Measurement of profitability is using Return on Assets (ROA). ROA is a comparison between net income and total assets at the end of the period, which is used as an indicator of the company’s ability to generate profits. According to Manahan (2013) ROA can be calculated using the following formula</w:t>
      </w:r>
    </w:p>
    <w:p w14:paraId="389B0074" w14:textId="77777777" w:rsidR="000C43E5" w:rsidRPr="000C43E5" w:rsidRDefault="000C43E5" w:rsidP="000C43E5">
      <w:pPr>
        <w:pStyle w:val="ListParagraph"/>
        <w:spacing w:after="0" w:line="240" w:lineRule="auto"/>
        <w:ind w:left="426"/>
        <w:rPr>
          <w:rFonts w:ascii="Times New Roman" w:hAnsi="Times New Roman" w:cs="Times New Roman"/>
          <w:sz w:val="24"/>
          <w:szCs w:val="24"/>
        </w:rPr>
      </w:pPr>
    </w:p>
    <w:p w14:paraId="2D6D3F94" w14:textId="77777777" w:rsidR="000C43E5" w:rsidRPr="000C43E5" w:rsidRDefault="000C43E5" w:rsidP="000C43E5">
      <w:pPr>
        <w:pStyle w:val="ListParagraph"/>
        <w:spacing w:after="0" w:line="240" w:lineRule="auto"/>
        <w:ind w:left="426"/>
        <w:rPr>
          <w:rFonts w:ascii="Times New Roman" w:eastAsia="Calibri" w:hAnsi="Times New Roman" w:cs="Times New Roman"/>
          <w:b/>
          <w:bCs/>
          <w:color w:val="0D0D0D"/>
          <w:sz w:val="24"/>
          <w:szCs w:val="24"/>
        </w:rPr>
      </w:pPr>
      <m:oMathPara>
        <m:oMath>
          <m:r>
            <m:rPr>
              <m:sty m:val="p"/>
            </m:rPr>
            <w:rPr>
              <w:rFonts w:ascii="Cambria Math" w:hAnsi="Cambria Math" w:cs="Times New Roman"/>
              <w:color w:val="0D0D0D"/>
              <w:sz w:val="24"/>
              <w:szCs w:val="24"/>
            </w:rPr>
            <m:t>ROA=</m:t>
          </m:r>
          <m:f>
            <m:fPr>
              <m:ctrlPr>
                <w:rPr>
                  <w:rFonts w:ascii="Cambria Math" w:hAnsi="Cambria Math" w:cs="Times New Roman"/>
                  <w:color w:val="0D0D0D"/>
                  <w:sz w:val="24"/>
                  <w:szCs w:val="24"/>
                </w:rPr>
              </m:ctrlPr>
            </m:fPr>
            <m:num>
              <m:r>
                <m:rPr>
                  <m:sty m:val="p"/>
                </m:rPr>
                <w:rPr>
                  <w:rFonts w:ascii="Cambria Math" w:hAnsi="Cambria Math" w:cs="Times New Roman"/>
                  <w:color w:val="0D0D0D"/>
                  <w:sz w:val="24"/>
                  <w:szCs w:val="24"/>
                </w:rPr>
                <m:t xml:space="preserve">Net Profit After Tax </m:t>
              </m:r>
            </m:num>
            <m:den>
              <m:r>
                <m:rPr>
                  <m:sty m:val="p"/>
                </m:rPr>
                <w:rPr>
                  <w:rFonts w:ascii="Cambria Math" w:hAnsi="Cambria Math" w:cs="Times New Roman"/>
                  <w:color w:val="0D0D0D"/>
                  <w:sz w:val="24"/>
                  <w:szCs w:val="24"/>
                </w:rPr>
                <m:t>Total Asset</m:t>
              </m:r>
            </m:den>
          </m:f>
        </m:oMath>
      </m:oMathPara>
    </w:p>
    <w:p w14:paraId="532CD7A6" w14:textId="77777777" w:rsidR="000C43E5" w:rsidRPr="000C43E5" w:rsidRDefault="000C43E5" w:rsidP="000C43E5">
      <w:pPr>
        <w:pStyle w:val="ListParagraph"/>
        <w:spacing w:line="240" w:lineRule="auto"/>
        <w:ind w:left="426"/>
        <w:rPr>
          <w:rFonts w:ascii="Times New Roman" w:hAnsi="Times New Roman" w:cs="Times New Roman"/>
          <w:b/>
          <w:bCs/>
          <w:sz w:val="24"/>
          <w:szCs w:val="24"/>
        </w:rPr>
      </w:pPr>
    </w:p>
    <w:p w14:paraId="7A59CEB2" w14:textId="77777777" w:rsidR="000C43E5" w:rsidRPr="000C43E5" w:rsidRDefault="000C43E5" w:rsidP="000C43E5">
      <w:pPr>
        <w:pStyle w:val="ListParagraph"/>
        <w:numPr>
          <w:ilvl w:val="0"/>
          <w:numId w:val="6"/>
        </w:numPr>
        <w:spacing w:line="240" w:lineRule="auto"/>
        <w:ind w:left="426" w:hanging="284"/>
        <w:rPr>
          <w:rFonts w:ascii="Times New Roman" w:hAnsi="Times New Roman" w:cs="Times New Roman"/>
          <w:b/>
          <w:bCs/>
          <w:sz w:val="24"/>
          <w:szCs w:val="24"/>
        </w:rPr>
      </w:pPr>
      <w:r w:rsidRPr="000C43E5">
        <w:rPr>
          <w:rFonts w:ascii="Times New Roman" w:hAnsi="Times New Roman" w:cs="Times New Roman"/>
          <w:b/>
          <w:bCs/>
          <w:sz w:val="24"/>
          <w:szCs w:val="24"/>
        </w:rPr>
        <w:t>Liquidity</w:t>
      </w:r>
    </w:p>
    <w:p w14:paraId="625B893C" w14:textId="77777777" w:rsidR="000C43E5" w:rsidRPr="000C43E5" w:rsidRDefault="000C43E5" w:rsidP="000C43E5">
      <w:pPr>
        <w:pStyle w:val="ListParagraph"/>
        <w:spacing w:line="240" w:lineRule="auto"/>
        <w:ind w:left="426"/>
        <w:rPr>
          <w:rFonts w:ascii="Times New Roman" w:hAnsi="Times New Roman" w:cs="Times New Roman"/>
          <w:sz w:val="24"/>
          <w:szCs w:val="24"/>
        </w:rPr>
      </w:pPr>
      <w:r w:rsidRPr="000C43E5">
        <w:rPr>
          <w:rFonts w:ascii="Times New Roman" w:hAnsi="Times New Roman" w:cs="Times New Roman"/>
          <w:sz w:val="24"/>
          <w:szCs w:val="24"/>
        </w:rPr>
        <w:t>According to Brigham and Houston (2016) current ratio is the ratio calculated by dividing current asset by current liabilities. It indicates the extent to which current liabilities are covered by those assets expected to be converted to cash in the near future. Subramanyam K.R (2014) said that current ratio is a relevant and useful measure of liquidity and short-term solvency, it is subject to certain limitations we must be aware of:</w:t>
      </w:r>
    </w:p>
    <w:p w14:paraId="6CACA553" w14:textId="77777777" w:rsidR="000C43E5" w:rsidRPr="000C43E5" w:rsidRDefault="000C43E5" w:rsidP="000C43E5">
      <w:pPr>
        <w:pStyle w:val="ListParagraph"/>
        <w:spacing w:line="240" w:lineRule="auto"/>
        <w:ind w:left="426"/>
        <w:rPr>
          <w:rFonts w:ascii="Times New Roman" w:hAnsi="Times New Roman" w:cs="Times New Roman"/>
          <w:sz w:val="24"/>
          <w:szCs w:val="24"/>
        </w:rPr>
      </w:pPr>
    </w:p>
    <w:p w14:paraId="364F5BE3" w14:textId="77777777" w:rsidR="000C43E5" w:rsidRPr="000C43E5" w:rsidRDefault="000C43E5" w:rsidP="000C43E5">
      <w:pPr>
        <w:pStyle w:val="ListParagraph"/>
        <w:spacing w:line="240" w:lineRule="auto"/>
        <w:ind w:left="426"/>
        <w:jc w:val="center"/>
        <w:rPr>
          <w:rFonts w:ascii="Times New Roman" w:eastAsiaTheme="minorEastAsia" w:hAnsi="Times New Roman" w:cs="Times New Roman"/>
          <w:color w:val="0D0D0D"/>
          <w:sz w:val="24"/>
          <w:szCs w:val="24"/>
        </w:rPr>
      </w:pPr>
      <w:r w:rsidRPr="000C43E5">
        <w:rPr>
          <w:rFonts w:ascii="Times New Roman" w:hAnsi="Times New Roman" w:cs="Times New Roman"/>
          <w:sz w:val="24"/>
          <w:szCs w:val="24"/>
        </w:rPr>
        <w:t xml:space="preserve">CR = </w:t>
      </w:r>
      <m:oMath>
        <m:f>
          <m:fPr>
            <m:ctrlPr>
              <w:rPr>
                <w:rFonts w:ascii="Cambria Math" w:hAnsi="Cambria Math" w:cs="Times New Roman"/>
                <w:color w:val="0D0D0D"/>
                <w:sz w:val="24"/>
                <w:szCs w:val="24"/>
              </w:rPr>
            </m:ctrlPr>
          </m:fPr>
          <m:num>
            <m:r>
              <m:rPr>
                <m:sty m:val="p"/>
              </m:rPr>
              <w:rPr>
                <w:rFonts w:ascii="Cambria Math" w:hAnsi="Cambria Math" w:cs="Times New Roman"/>
                <w:color w:val="0D0D0D"/>
                <w:sz w:val="24"/>
                <w:szCs w:val="24"/>
              </w:rPr>
              <m:t xml:space="preserve">Current Asset </m:t>
            </m:r>
          </m:num>
          <m:den>
            <m:r>
              <m:rPr>
                <m:sty m:val="p"/>
              </m:rPr>
              <w:rPr>
                <w:rFonts w:ascii="Cambria Math" w:hAnsi="Cambria Math" w:cs="Times New Roman"/>
                <w:color w:val="0D0D0D"/>
                <w:sz w:val="24"/>
                <w:szCs w:val="24"/>
              </w:rPr>
              <m:t>Current Liabilities</m:t>
            </m:r>
          </m:den>
        </m:f>
      </m:oMath>
    </w:p>
    <w:p w14:paraId="1D84DB53" w14:textId="77777777" w:rsidR="000C43E5" w:rsidRPr="000C43E5" w:rsidRDefault="000C43E5" w:rsidP="000C43E5">
      <w:pPr>
        <w:pStyle w:val="ListParagraph"/>
        <w:spacing w:line="240" w:lineRule="auto"/>
        <w:ind w:left="426"/>
        <w:rPr>
          <w:rFonts w:ascii="Times New Roman" w:hAnsi="Times New Roman" w:cs="Times New Roman"/>
          <w:b/>
          <w:bCs/>
          <w:sz w:val="24"/>
          <w:szCs w:val="24"/>
        </w:rPr>
      </w:pPr>
    </w:p>
    <w:p w14:paraId="0CDEBA0D" w14:textId="77777777" w:rsidR="000C43E5" w:rsidRPr="000C43E5" w:rsidRDefault="000C43E5" w:rsidP="000C43E5">
      <w:pPr>
        <w:pStyle w:val="ListParagraph"/>
        <w:numPr>
          <w:ilvl w:val="0"/>
          <w:numId w:val="6"/>
        </w:numPr>
        <w:spacing w:line="240" w:lineRule="auto"/>
        <w:ind w:left="426" w:hanging="284"/>
        <w:rPr>
          <w:rFonts w:ascii="Times New Roman" w:hAnsi="Times New Roman" w:cs="Times New Roman"/>
          <w:b/>
          <w:bCs/>
          <w:sz w:val="24"/>
          <w:szCs w:val="24"/>
        </w:rPr>
      </w:pPr>
      <w:r w:rsidRPr="000C43E5">
        <w:rPr>
          <w:rFonts w:ascii="Times New Roman" w:hAnsi="Times New Roman" w:cs="Times New Roman"/>
          <w:b/>
          <w:bCs/>
          <w:sz w:val="24"/>
          <w:szCs w:val="24"/>
        </w:rPr>
        <w:t>Leverage</w:t>
      </w:r>
    </w:p>
    <w:p w14:paraId="57942F5B" w14:textId="77777777" w:rsidR="000C43E5" w:rsidRPr="000C43E5" w:rsidRDefault="000C43E5" w:rsidP="000C43E5">
      <w:pPr>
        <w:ind w:left="426"/>
        <w:jc w:val="both"/>
        <w:rPr>
          <w:sz w:val="24"/>
          <w:szCs w:val="24"/>
        </w:rPr>
      </w:pPr>
      <w:r w:rsidRPr="000C43E5">
        <w:rPr>
          <w:sz w:val="24"/>
          <w:szCs w:val="24"/>
        </w:rPr>
        <w:t xml:space="preserve">Leverage is the effect coming from the use of long-term and short-term financing made by the firm </w:t>
      </w:r>
      <w:r w:rsidRPr="000C43E5">
        <w:rPr>
          <w:sz w:val="24"/>
          <w:szCs w:val="24"/>
        </w:rPr>
        <w:fldChar w:fldCharType="begin" w:fldLock="1"/>
      </w:r>
      <w:r w:rsidRPr="000C43E5">
        <w:rPr>
          <w:sz w:val="24"/>
          <w:szCs w:val="24"/>
        </w:rPr>
        <w:instrText>ADDIN CSL_CITATION {"citationItems":[{"id":"ITEM-1","itemData":{"ISBN":"9788578110796","ISSN":"1098-6596","PMID":"25246403","abstract":"The purpose of this research is to find out the influence of intellectual capital and corporate governance to the corporate performance which is proxy by price to book value (PBV). The population is 142 manufacturing companies which are listed in Indonesia Stock Exchange (IDX) in 2010-2014 periods. The sample collection has been done by purposive sampling. 19 sample companies have been selected as samples based on the predetermined criteria. The data analysis has been carried out by using multiple linear regressions and SPSS (Statistical Product and Service Solutions) 23rd version application. The result of the F test shows that simultaneously all independent variables give significant influence to the corporate performance. The result of the t test shows that capital employed efficiency (CEE) and structural capital efficiency (SCE) gives positive influence to the corporate performance, but human capital efficiency (HCE) gives negative influence to the corporate performance. Meanwhile, institutional ownership and managerial ownership give negative influence to the corporate performance and independent board of commisioners give positive influence to the corporate influence.","author":[{"dropping-particle":"","family":"Puspita","given":"Arum","non-dropping-particle":"","parse-names":false,"suffix":""},{"dropping-particle":"","family":"Priyadi","given":"Maswar Patuh","non-dropping-particle":"","parse-names":false,"suffix":""}],"container-title":"jurnal Ilmu &amp; Riset Akuntansi","id":"ITEM-1","issue":"7","issued":{"date-parts":[["2017"]]},"page":"1-20","title":"Pengaruh Intellectual Capital dan Corporate Governance Terhadap Kinerja Perusahaan","type":"article-journal","volume":"6"},"uris":["http://www.mendeley.com/documents/?uuid=028e88e0-b9ff-44b6-be01-89801e6cdb21"]}],"mendeley":{"formattedCitation":"(Puspita &amp; Priyadi, 2017)","plainTextFormattedCitation":"(Puspita &amp; Priyadi, 2017)","previouslyFormattedCitation":"(Puspita &amp; Priyadi, 2017)"},"properties":{"noteIndex":0},"schema":"https://github.com/citation-style-language/schema/raw/master/csl-citation.json"}</w:instrText>
      </w:r>
      <w:r w:rsidRPr="000C43E5">
        <w:rPr>
          <w:sz w:val="24"/>
          <w:szCs w:val="24"/>
        </w:rPr>
        <w:fldChar w:fldCharType="separate"/>
      </w:r>
      <w:r w:rsidRPr="000C43E5">
        <w:rPr>
          <w:noProof/>
          <w:sz w:val="24"/>
          <w:szCs w:val="24"/>
        </w:rPr>
        <w:t>(Puspita &amp; Priyadi, 2017)</w:t>
      </w:r>
      <w:r w:rsidRPr="000C43E5">
        <w:rPr>
          <w:sz w:val="24"/>
          <w:szCs w:val="24"/>
        </w:rPr>
        <w:fldChar w:fldCharType="end"/>
      </w:r>
      <w:r w:rsidRPr="000C43E5">
        <w:rPr>
          <w:sz w:val="24"/>
          <w:szCs w:val="24"/>
        </w:rPr>
        <w:t xml:space="preserve">. Leverage gives a picture of a firm’s capital structure, so that the risk of a loan that is uncollectible may be detected </w:t>
      </w:r>
      <w:r w:rsidRPr="000C43E5">
        <w:rPr>
          <w:sz w:val="24"/>
          <w:szCs w:val="24"/>
        </w:rPr>
        <w:fldChar w:fldCharType="begin" w:fldLock="1"/>
      </w:r>
      <w:r w:rsidRPr="000C43E5">
        <w:rPr>
          <w:sz w:val="24"/>
          <w:szCs w:val="24"/>
        </w:rPr>
        <w:instrText>ADDIN CSL_CITATION {"citationItems":[{"id":"ITEM-1","itemData":{"DOI":"10.32493/jiaup.v6i2.1956","ISSN":"2339-0867","abstract":"This study aims to find evidence of the influence of Leverage and FirmSize against Avoidance of Taxes. Independent variables used in this study are Leverage and Firm Size. While the dependent variable in this research is Tax Avoidance as measured by Effective Tax Rate (ETR). The type of research used in this study is quantitative data. Source of data used in this research is secondary data. The population in this study is a company Property, Real Estate and Building Construction’s sector listed on the Indonesia Stock Exchange (IDX) during the period 2013-2017. Determination of this research sample using purposive sampling method and get sample of research as many as 34 companies. Hypothesis testing in this study using multiple linear regression method using SPSS version 22. The results of this study indicate that Leverage has an effect ontax evasion. Firm Size has no effect on tax avoidance. While simultaneously shows that Leverage and Firm Size together affect the Tax Avoidance.","author":[{"dropping-particle":"","family":"Barli","given":"Harry","non-dropping-particle":"","parse-names":false,"suffix":""}],"container-title":"Jurnal Ilmiah Akuntansi Universitas Pamulang","id":"ITEM-1","issue":"2","issued":{"date-parts":[["2018"]]},"page":"223","title":"Pengaruh Leverage Dan Firm Size Terhadap Penghindaran Pajak","type":"article-journal","volume":"6"},"uris":["http://www.mendeley.com/documents/?uuid=7f79430a-632c-4d69-8816-ac5a9768554b"]}],"mendeley":{"formattedCitation":"(Barli, 2018)","plainTextFormattedCitation":"(Barli, 2018)","previouslyFormattedCitation":"(Barli, 2018)"},"properties":{"noteIndex":0},"schema":"https://github.com/citation-style-language/schema/raw/master/csl-citation.json"}</w:instrText>
      </w:r>
      <w:r w:rsidRPr="000C43E5">
        <w:rPr>
          <w:sz w:val="24"/>
          <w:szCs w:val="24"/>
        </w:rPr>
        <w:fldChar w:fldCharType="separate"/>
      </w:r>
      <w:r w:rsidRPr="000C43E5">
        <w:rPr>
          <w:noProof/>
          <w:sz w:val="24"/>
          <w:szCs w:val="24"/>
        </w:rPr>
        <w:t>(Barli, 2018)</w:t>
      </w:r>
      <w:r w:rsidRPr="000C43E5">
        <w:rPr>
          <w:sz w:val="24"/>
          <w:szCs w:val="24"/>
        </w:rPr>
        <w:fldChar w:fldCharType="end"/>
      </w:r>
      <w:r w:rsidRPr="000C43E5">
        <w:rPr>
          <w:sz w:val="24"/>
          <w:szCs w:val="24"/>
        </w:rPr>
        <w:t>. A firm’s leverage is proxied by debt to equity ratio.</w:t>
      </w:r>
    </w:p>
    <w:p w14:paraId="6AE99D75" w14:textId="77777777" w:rsidR="000C43E5" w:rsidRPr="000C43E5" w:rsidRDefault="000C43E5" w:rsidP="000C43E5">
      <w:pPr>
        <w:jc w:val="both"/>
        <w:rPr>
          <w:rFonts w:eastAsiaTheme="minorEastAsia"/>
          <w:color w:val="0D0D0D"/>
          <w:sz w:val="24"/>
          <w:szCs w:val="24"/>
        </w:rPr>
      </w:pPr>
      <m:oMathPara>
        <m:oMath>
          <m:r>
            <m:rPr>
              <m:sty m:val="p"/>
            </m:rPr>
            <w:rPr>
              <w:rFonts w:ascii="Cambria Math" w:hAnsi="Cambria Math"/>
              <w:color w:val="0D0D0D"/>
              <w:sz w:val="24"/>
              <w:szCs w:val="24"/>
            </w:rPr>
            <m:t>DER=</m:t>
          </m:r>
          <m:f>
            <m:fPr>
              <m:ctrlPr>
                <w:rPr>
                  <w:rFonts w:ascii="Cambria Math" w:hAnsi="Cambria Math"/>
                  <w:color w:val="0D0D0D"/>
                  <w:sz w:val="24"/>
                  <w:szCs w:val="24"/>
                </w:rPr>
              </m:ctrlPr>
            </m:fPr>
            <m:num>
              <m:r>
                <m:rPr>
                  <m:sty m:val="p"/>
                </m:rPr>
                <w:rPr>
                  <w:rFonts w:ascii="Cambria Math" w:hAnsi="Cambria Math"/>
                  <w:color w:val="0D0D0D"/>
                  <w:sz w:val="24"/>
                  <w:szCs w:val="24"/>
                </w:rPr>
                <m:t>Debt</m:t>
              </m:r>
            </m:num>
            <m:den>
              <m:r>
                <m:rPr>
                  <m:sty m:val="p"/>
                </m:rPr>
                <w:rPr>
                  <w:rFonts w:ascii="Cambria Math" w:hAnsi="Cambria Math"/>
                  <w:color w:val="0D0D0D"/>
                  <w:sz w:val="24"/>
                  <w:szCs w:val="24"/>
                </w:rPr>
                <m:t>Equity</m:t>
              </m:r>
            </m:den>
          </m:f>
        </m:oMath>
      </m:oMathPara>
    </w:p>
    <w:p w14:paraId="1F4A84D2" w14:textId="77777777" w:rsidR="000C43E5" w:rsidRPr="000C43E5" w:rsidRDefault="000C43E5" w:rsidP="000C43E5">
      <w:pPr>
        <w:shd w:val="clear" w:color="auto" w:fill="FFFFFF"/>
        <w:ind w:firstLine="567"/>
        <w:jc w:val="both"/>
        <w:rPr>
          <w:sz w:val="24"/>
          <w:szCs w:val="24"/>
        </w:rPr>
      </w:pPr>
      <w:r w:rsidRPr="000C43E5">
        <w:rPr>
          <w:sz w:val="24"/>
          <w:szCs w:val="24"/>
        </w:rPr>
        <w:t xml:space="preserve">Data on this studi analysis by Multiple linear regression analysis. Multiple regression analysis is an analysis of the relationship between one dependent variable with two or more independent variables (Arikunto, 2010: 25). So when associated with this research, multiple regression analysis is to identify variables that affect tax avoidance. Multiple Regression Analysis Formulas according to Widarjono (2010: 15) are as follows: </w:t>
      </w:r>
    </w:p>
    <w:p w14:paraId="08D634C0" w14:textId="77777777" w:rsidR="000C43E5" w:rsidRPr="000C43E5" w:rsidRDefault="000C43E5" w:rsidP="000C43E5">
      <w:pPr>
        <w:shd w:val="clear" w:color="auto" w:fill="FFFFFF"/>
        <w:contextualSpacing/>
        <w:jc w:val="center"/>
        <w:rPr>
          <w:sz w:val="24"/>
          <w:szCs w:val="24"/>
        </w:rPr>
      </w:pPr>
      <w:r w:rsidRPr="000C43E5">
        <w:rPr>
          <w:rFonts w:ascii="Cambria Math" w:hAnsi="Cambria Math" w:cs="Cambria Math"/>
          <w:sz w:val="24"/>
          <w:szCs w:val="24"/>
        </w:rPr>
        <w:t>𝑌</w:t>
      </w:r>
      <w:r w:rsidRPr="000C43E5">
        <w:rPr>
          <w:sz w:val="24"/>
          <w:szCs w:val="24"/>
        </w:rPr>
        <w:t xml:space="preserve"> = </w:t>
      </w:r>
      <w:r w:rsidRPr="000C43E5">
        <w:rPr>
          <w:rFonts w:ascii="Cambria Math" w:hAnsi="Cambria Math" w:cs="Cambria Math"/>
          <w:sz w:val="24"/>
          <w:szCs w:val="24"/>
        </w:rPr>
        <w:t>𝛽</w:t>
      </w:r>
      <w:r w:rsidRPr="000C43E5">
        <w:rPr>
          <w:sz w:val="24"/>
          <w:szCs w:val="24"/>
        </w:rPr>
        <w:t xml:space="preserve">0 + </w:t>
      </w:r>
      <w:r w:rsidRPr="000C43E5">
        <w:rPr>
          <w:rFonts w:ascii="Cambria Math" w:hAnsi="Cambria Math" w:cs="Cambria Math"/>
          <w:sz w:val="24"/>
          <w:szCs w:val="24"/>
        </w:rPr>
        <w:t>𝛽</w:t>
      </w:r>
      <w:r w:rsidRPr="000C43E5">
        <w:rPr>
          <w:sz w:val="24"/>
          <w:szCs w:val="24"/>
        </w:rPr>
        <w:t>1</w:t>
      </w:r>
      <w:r w:rsidRPr="000C43E5">
        <w:rPr>
          <w:rFonts w:ascii="Cambria Math" w:hAnsi="Cambria Math" w:cs="Cambria Math"/>
          <w:sz w:val="24"/>
          <w:szCs w:val="24"/>
        </w:rPr>
        <w:t>𝑋</w:t>
      </w:r>
      <w:r w:rsidRPr="000C43E5">
        <w:rPr>
          <w:sz w:val="24"/>
          <w:szCs w:val="24"/>
        </w:rPr>
        <w:t xml:space="preserve">1 + </w:t>
      </w:r>
      <w:r w:rsidRPr="000C43E5">
        <w:rPr>
          <w:rFonts w:ascii="Cambria Math" w:hAnsi="Cambria Math" w:cs="Cambria Math"/>
          <w:sz w:val="24"/>
          <w:szCs w:val="24"/>
        </w:rPr>
        <w:t>𝛽</w:t>
      </w:r>
      <w:r w:rsidRPr="000C43E5">
        <w:rPr>
          <w:sz w:val="24"/>
          <w:szCs w:val="24"/>
        </w:rPr>
        <w:t>2</w:t>
      </w:r>
      <w:r w:rsidRPr="000C43E5">
        <w:rPr>
          <w:rFonts w:ascii="Cambria Math" w:hAnsi="Cambria Math" w:cs="Cambria Math"/>
          <w:sz w:val="24"/>
          <w:szCs w:val="24"/>
        </w:rPr>
        <w:t>𝑋</w:t>
      </w:r>
      <w:r w:rsidRPr="000C43E5">
        <w:rPr>
          <w:sz w:val="24"/>
          <w:szCs w:val="24"/>
        </w:rPr>
        <w:t xml:space="preserve">2 + </w:t>
      </w:r>
      <w:r w:rsidRPr="000C43E5">
        <w:rPr>
          <w:rFonts w:ascii="Cambria Math" w:hAnsi="Cambria Math" w:cs="Cambria Math"/>
          <w:sz w:val="24"/>
          <w:szCs w:val="24"/>
        </w:rPr>
        <w:t>𝛽</w:t>
      </w:r>
      <w:r w:rsidRPr="000C43E5">
        <w:rPr>
          <w:sz w:val="24"/>
          <w:szCs w:val="24"/>
        </w:rPr>
        <w:t>3</w:t>
      </w:r>
      <w:r w:rsidRPr="000C43E5">
        <w:rPr>
          <w:rFonts w:ascii="Cambria Math" w:hAnsi="Cambria Math" w:cs="Cambria Math"/>
          <w:sz w:val="24"/>
          <w:szCs w:val="24"/>
        </w:rPr>
        <w:t>𝑋</w:t>
      </w:r>
      <w:r w:rsidRPr="000C43E5">
        <w:rPr>
          <w:sz w:val="24"/>
          <w:szCs w:val="24"/>
        </w:rPr>
        <w:t>3</w:t>
      </w:r>
    </w:p>
    <w:p w14:paraId="1CB24FAB" w14:textId="77777777" w:rsidR="000C43E5" w:rsidRPr="000C43E5" w:rsidRDefault="000C43E5" w:rsidP="000C43E5">
      <w:pPr>
        <w:shd w:val="clear" w:color="auto" w:fill="FFFFFF"/>
        <w:contextualSpacing/>
        <w:jc w:val="both"/>
        <w:rPr>
          <w:sz w:val="24"/>
          <w:szCs w:val="24"/>
        </w:rPr>
      </w:pPr>
      <w:r w:rsidRPr="000C43E5">
        <w:rPr>
          <w:sz w:val="24"/>
          <w:szCs w:val="24"/>
        </w:rPr>
        <w:t xml:space="preserve">Information: </w:t>
      </w:r>
    </w:p>
    <w:p w14:paraId="7FA70326" w14:textId="77777777" w:rsidR="000C43E5" w:rsidRPr="000C43E5" w:rsidRDefault="000C43E5" w:rsidP="000C43E5">
      <w:pPr>
        <w:shd w:val="clear" w:color="auto" w:fill="FFFFFF"/>
        <w:contextualSpacing/>
        <w:jc w:val="both"/>
        <w:rPr>
          <w:sz w:val="24"/>
          <w:szCs w:val="24"/>
        </w:rPr>
      </w:pPr>
      <w:r w:rsidRPr="000C43E5">
        <w:rPr>
          <w:sz w:val="24"/>
          <w:szCs w:val="24"/>
        </w:rPr>
        <w:t xml:space="preserve">Y: Tax avoidance (CETR) </w:t>
      </w:r>
    </w:p>
    <w:p w14:paraId="4530B334" w14:textId="77777777" w:rsidR="000C43E5" w:rsidRPr="000C43E5" w:rsidRDefault="000C43E5" w:rsidP="000C43E5">
      <w:pPr>
        <w:shd w:val="clear" w:color="auto" w:fill="FFFFFF"/>
        <w:contextualSpacing/>
        <w:jc w:val="both"/>
        <w:rPr>
          <w:sz w:val="24"/>
          <w:szCs w:val="24"/>
        </w:rPr>
      </w:pPr>
      <w:r w:rsidRPr="000C43E5">
        <w:rPr>
          <w:sz w:val="24"/>
          <w:szCs w:val="24"/>
        </w:rPr>
        <w:t xml:space="preserve">X1: Return on Assets (ROA) </w:t>
      </w:r>
    </w:p>
    <w:p w14:paraId="7857A907" w14:textId="77777777" w:rsidR="000C43E5" w:rsidRPr="000C43E5" w:rsidRDefault="000C43E5" w:rsidP="000C43E5">
      <w:pPr>
        <w:shd w:val="clear" w:color="auto" w:fill="FFFFFF"/>
        <w:contextualSpacing/>
        <w:jc w:val="both"/>
        <w:rPr>
          <w:sz w:val="24"/>
          <w:szCs w:val="24"/>
        </w:rPr>
      </w:pPr>
      <w:r w:rsidRPr="000C43E5">
        <w:rPr>
          <w:sz w:val="24"/>
          <w:szCs w:val="24"/>
        </w:rPr>
        <w:lastRenderedPageBreak/>
        <w:t>X2: Current Ratio (CR)</w:t>
      </w:r>
    </w:p>
    <w:p w14:paraId="55FC7B43" w14:textId="77777777" w:rsidR="000C43E5" w:rsidRPr="000C43E5" w:rsidRDefault="000C43E5" w:rsidP="000C43E5">
      <w:pPr>
        <w:shd w:val="clear" w:color="auto" w:fill="FFFFFF"/>
        <w:contextualSpacing/>
        <w:jc w:val="both"/>
        <w:rPr>
          <w:sz w:val="24"/>
          <w:szCs w:val="24"/>
        </w:rPr>
      </w:pPr>
      <w:r w:rsidRPr="000C43E5">
        <w:rPr>
          <w:sz w:val="24"/>
          <w:szCs w:val="24"/>
        </w:rPr>
        <w:t>X3: Leverage</w:t>
      </w:r>
    </w:p>
    <w:p w14:paraId="52118DC9" w14:textId="77777777" w:rsidR="000C43E5" w:rsidRPr="000C43E5" w:rsidRDefault="000C43E5" w:rsidP="000C43E5">
      <w:pPr>
        <w:shd w:val="clear" w:color="auto" w:fill="FFFFFF"/>
        <w:contextualSpacing/>
        <w:jc w:val="both"/>
        <w:rPr>
          <w:sz w:val="24"/>
          <w:szCs w:val="24"/>
        </w:rPr>
      </w:pPr>
      <w:r w:rsidRPr="000C43E5">
        <w:rPr>
          <w:sz w:val="24"/>
          <w:szCs w:val="24"/>
        </w:rPr>
        <w:t xml:space="preserve">β0: Constants </w:t>
      </w:r>
    </w:p>
    <w:p w14:paraId="561F363B" w14:textId="067926B3" w:rsidR="00C40A65" w:rsidRPr="000C43E5" w:rsidRDefault="000C43E5" w:rsidP="000C43E5">
      <w:pPr>
        <w:pStyle w:val="BodyText"/>
        <w:jc w:val="both"/>
      </w:pPr>
      <w:r w:rsidRPr="000C43E5">
        <w:t>β1, β2, β2: The regression coefficient of each independent variable</w:t>
      </w:r>
    </w:p>
    <w:p w14:paraId="0670551F" w14:textId="77777777" w:rsidR="001B5598" w:rsidRDefault="001B5598" w:rsidP="00C40A65">
      <w:pPr>
        <w:pStyle w:val="BodyText"/>
        <w:ind w:firstLine="720"/>
        <w:jc w:val="both"/>
      </w:pPr>
    </w:p>
    <w:p w14:paraId="1E7E3804" w14:textId="77777777" w:rsidR="00E45AAD" w:rsidRPr="001B5598" w:rsidRDefault="00E45AAD" w:rsidP="00C40A65">
      <w:pPr>
        <w:pStyle w:val="BodyText"/>
        <w:ind w:firstLine="720"/>
        <w:jc w:val="both"/>
      </w:pPr>
    </w:p>
    <w:p w14:paraId="6B37BC4E" w14:textId="77777777" w:rsidR="00C40A65" w:rsidRPr="00AF441C" w:rsidRDefault="00E45AAD" w:rsidP="00C40A65">
      <w:pPr>
        <w:pStyle w:val="Heading1"/>
        <w:ind w:left="0" w:right="853"/>
        <w:jc w:val="left"/>
      </w:pPr>
      <w:r>
        <w:t>4,</w:t>
      </w:r>
      <w:r>
        <w:tab/>
      </w:r>
      <w:r w:rsidR="00C40A65" w:rsidRPr="00364118">
        <w:t>RESEARCH RESULTS AND DISCUSSION</w:t>
      </w:r>
    </w:p>
    <w:p w14:paraId="543FE7C8" w14:textId="77777777" w:rsidR="00C40A65" w:rsidRDefault="00C40A65" w:rsidP="00C40A65">
      <w:pPr>
        <w:pStyle w:val="Heading1"/>
        <w:ind w:left="0" w:right="1809"/>
        <w:jc w:val="left"/>
      </w:pPr>
      <w:r w:rsidRPr="008C1D5E">
        <w:t>Descriptive Statistical Analysis</w:t>
      </w:r>
    </w:p>
    <w:p w14:paraId="1EE301F3" w14:textId="77777777" w:rsidR="000C43E5" w:rsidRPr="00F013B1" w:rsidRDefault="000C43E5" w:rsidP="000C43E5">
      <w:pPr>
        <w:shd w:val="clear" w:color="auto" w:fill="FFFFFF"/>
        <w:ind w:firstLine="426"/>
        <w:jc w:val="both"/>
      </w:pPr>
      <w:r>
        <w:t>The following is a summary of descriptive statistics of research data</w:t>
      </w:r>
      <w:r w:rsidRPr="00F013B1">
        <w:t>.</w:t>
      </w:r>
    </w:p>
    <w:p w14:paraId="05CE949B" w14:textId="77777777" w:rsidR="000C43E5" w:rsidRPr="000C43E5" w:rsidRDefault="000C43E5" w:rsidP="000C43E5">
      <w:pPr>
        <w:pStyle w:val="ListParagraph"/>
        <w:shd w:val="clear" w:color="auto" w:fill="FFFFFF"/>
        <w:spacing w:after="0" w:line="240" w:lineRule="auto"/>
        <w:ind w:left="426"/>
        <w:rPr>
          <w:rFonts w:ascii="Times New Roman" w:hAnsi="Times New Roman" w:cs="Times New Roman"/>
          <w:sz w:val="24"/>
          <w:szCs w:val="24"/>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993"/>
        <w:gridCol w:w="1559"/>
        <w:gridCol w:w="1417"/>
        <w:gridCol w:w="1418"/>
        <w:gridCol w:w="1984"/>
      </w:tblGrid>
      <w:tr w:rsidR="000C43E5" w:rsidRPr="000C43E5" w14:paraId="4D771FB0" w14:textId="77777777" w:rsidTr="000C43E5">
        <w:trPr>
          <w:cantSplit/>
        </w:trPr>
        <w:tc>
          <w:tcPr>
            <w:tcW w:w="8505" w:type="dxa"/>
            <w:gridSpan w:val="6"/>
            <w:tcBorders>
              <w:top w:val="nil"/>
              <w:left w:val="nil"/>
              <w:bottom w:val="nil"/>
              <w:right w:val="nil"/>
              <w:tl2br w:val="nil"/>
              <w:tr2bl w:val="nil"/>
            </w:tcBorders>
            <w:shd w:val="clear" w:color="auto" w:fill="FFFFFF"/>
            <w:vAlign w:val="center"/>
          </w:tcPr>
          <w:p w14:paraId="2712B029" w14:textId="77777777" w:rsidR="000C43E5" w:rsidRDefault="000C43E5" w:rsidP="000C43E5">
            <w:pPr>
              <w:ind w:left="60" w:right="60"/>
              <w:contextualSpacing/>
              <w:jc w:val="center"/>
              <w:rPr>
                <w:b/>
                <w:color w:val="010205"/>
                <w:sz w:val="24"/>
                <w:szCs w:val="24"/>
                <w:lang w:val="en-US"/>
              </w:rPr>
            </w:pPr>
            <w:r>
              <w:rPr>
                <w:b/>
                <w:color w:val="010205"/>
                <w:sz w:val="24"/>
                <w:szCs w:val="24"/>
                <w:lang w:val="en-US"/>
              </w:rPr>
              <w:t>Table 1</w:t>
            </w:r>
          </w:p>
          <w:p w14:paraId="6127C32A" w14:textId="585A9BAA" w:rsidR="000C43E5" w:rsidRPr="000C43E5" w:rsidRDefault="000C43E5" w:rsidP="000C43E5">
            <w:pPr>
              <w:ind w:left="60" w:right="60"/>
              <w:contextualSpacing/>
              <w:jc w:val="center"/>
              <w:rPr>
                <w:color w:val="010205"/>
                <w:sz w:val="24"/>
                <w:szCs w:val="24"/>
              </w:rPr>
            </w:pPr>
            <w:r w:rsidRPr="000C43E5">
              <w:rPr>
                <w:b/>
                <w:color w:val="010205"/>
                <w:sz w:val="24"/>
                <w:szCs w:val="24"/>
              </w:rPr>
              <w:t>Descriptive Statistics</w:t>
            </w:r>
          </w:p>
        </w:tc>
      </w:tr>
      <w:tr w:rsidR="000C43E5" w:rsidRPr="000C43E5" w14:paraId="40174CE0" w14:textId="77777777" w:rsidTr="000C43E5">
        <w:trPr>
          <w:cantSplit/>
        </w:trPr>
        <w:tc>
          <w:tcPr>
            <w:tcW w:w="1134" w:type="dxa"/>
            <w:tcBorders>
              <w:top w:val="nil"/>
              <w:left w:val="nil"/>
              <w:bottom w:val="single" w:sz="8" w:space="0" w:color="152935"/>
              <w:right w:val="nil"/>
              <w:tl2br w:val="nil"/>
              <w:tr2bl w:val="nil"/>
            </w:tcBorders>
            <w:shd w:val="clear" w:color="auto" w:fill="FFFFFF"/>
            <w:vAlign w:val="bottom"/>
          </w:tcPr>
          <w:p w14:paraId="6E077F52" w14:textId="77777777" w:rsidR="000C43E5" w:rsidRPr="000C43E5" w:rsidRDefault="000C43E5" w:rsidP="000C43E5">
            <w:pPr>
              <w:contextualSpacing/>
              <w:rPr>
                <w:sz w:val="24"/>
                <w:szCs w:val="24"/>
              </w:rPr>
            </w:pPr>
          </w:p>
        </w:tc>
        <w:tc>
          <w:tcPr>
            <w:tcW w:w="993" w:type="dxa"/>
            <w:tcBorders>
              <w:top w:val="nil"/>
              <w:left w:val="nil"/>
              <w:bottom w:val="single" w:sz="8" w:space="0" w:color="152935"/>
              <w:right w:val="single" w:sz="8" w:space="0" w:color="E0E0E0"/>
              <w:tl2br w:val="nil"/>
              <w:tr2bl w:val="nil"/>
            </w:tcBorders>
            <w:shd w:val="clear" w:color="auto" w:fill="FFFFFF"/>
            <w:vAlign w:val="bottom"/>
          </w:tcPr>
          <w:p w14:paraId="30AC6B92" w14:textId="77777777" w:rsidR="000C43E5" w:rsidRPr="000C43E5" w:rsidRDefault="000C43E5" w:rsidP="000C43E5">
            <w:pPr>
              <w:ind w:left="60" w:right="60"/>
              <w:contextualSpacing/>
              <w:jc w:val="center"/>
              <w:rPr>
                <w:color w:val="264A60"/>
                <w:sz w:val="24"/>
                <w:szCs w:val="24"/>
              </w:rPr>
            </w:pPr>
            <w:r w:rsidRPr="000C43E5">
              <w:rPr>
                <w:color w:val="264A60"/>
                <w:sz w:val="24"/>
                <w:szCs w:val="24"/>
              </w:rPr>
              <w:t>N</w:t>
            </w:r>
          </w:p>
        </w:tc>
        <w:tc>
          <w:tcPr>
            <w:tcW w:w="155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1A78067" w14:textId="77777777" w:rsidR="000C43E5" w:rsidRPr="000C43E5" w:rsidRDefault="000C43E5" w:rsidP="000C43E5">
            <w:pPr>
              <w:ind w:left="60" w:right="60"/>
              <w:contextualSpacing/>
              <w:jc w:val="center"/>
              <w:rPr>
                <w:color w:val="264A60"/>
                <w:sz w:val="24"/>
                <w:szCs w:val="24"/>
              </w:rPr>
            </w:pPr>
            <w:r w:rsidRPr="000C43E5">
              <w:rPr>
                <w:color w:val="264A60"/>
                <w:sz w:val="24"/>
                <w:szCs w:val="24"/>
              </w:rPr>
              <w:t>Min</w:t>
            </w:r>
          </w:p>
        </w:tc>
        <w:tc>
          <w:tcPr>
            <w:tcW w:w="1417"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1F5CA61" w14:textId="77777777" w:rsidR="000C43E5" w:rsidRPr="000C43E5" w:rsidRDefault="000C43E5" w:rsidP="000C43E5">
            <w:pPr>
              <w:ind w:left="60" w:right="60"/>
              <w:contextualSpacing/>
              <w:jc w:val="center"/>
              <w:rPr>
                <w:color w:val="264A60"/>
                <w:sz w:val="24"/>
                <w:szCs w:val="24"/>
              </w:rPr>
            </w:pPr>
            <w:r w:rsidRPr="000C43E5">
              <w:rPr>
                <w:color w:val="264A60"/>
                <w:sz w:val="24"/>
                <w:szCs w:val="24"/>
              </w:rPr>
              <w:t>Max</w:t>
            </w:r>
          </w:p>
        </w:tc>
        <w:tc>
          <w:tcPr>
            <w:tcW w:w="141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D61D8B5" w14:textId="77777777" w:rsidR="000C43E5" w:rsidRPr="000C43E5" w:rsidRDefault="000C43E5" w:rsidP="000C43E5">
            <w:pPr>
              <w:ind w:left="60" w:right="60"/>
              <w:contextualSpacing/>
              <w:jc w:val="center"/>
              <w:rPr>
                <w:color w:val="264A60"/>
                <w:sz w:val="24"/>
                <w:szCs w:val="24"/>
              </w:rPr>
            </w:pPr>
            <w:r w:rsidRPr="000C43E5">
              <w:rPr>
                <w:color w:val="264A60"/>
                <w:sz w:val="24"/>
                <w:szCs w:val="24"/>
              </w:rPr>
              <w:t>Mean</w:t>
            </w:r>
          </w:p>
        </w:tc>
        <w:tc>
          <w:tcPr>
            <w:tcW w:w="1984" w:type="dxa"/>
            <w:tcBorders>
              <w:top w:val="nil"/>
              <w:left w:val="single" w:sz="8" w:space="0" w:color="E0E0E0"/>
              <w:bottom w:val="single" w:sz="8" w:space="0" w:color="152935"/>
              <w:right w:val="nil"/>
              <w:tl2br w:val="nil"/>
              <w:tr2bl w:val="nil"/>
            </w:tcBorders>
            <w:shd w:val="clear" w:color="auto" w:fill="FFFFFF"/>
            <w:vAlign w:val="bottom"/>
          </w:tcPr>
          <w:p w14:paraId="2DC38021" w14:textId="77777777" w:rsidR="000C43E5" w:rsidRPr="000C43E5" w:rsidRDefault="000C43E5" w:rsidP="000C43E5">
            <w:pPr>
              <w:ind w:left="60" w:right="60"/>
              <w:contextualSpacing/>
              <w:jc w:val="center"/>
              <w:rPr>
                <w:color w:val="264A60"/>
                <w:sz w:val="24"/>
                <w:szCs w:val="24"/>
              </w:rPr>
            </w:pPr>
            <w:r w:rsidRPr="000C43E5">
              <w:rPr>
                <w:color w:val="264A60"/>
                <w:sz w:val="24"/>
                <w:szCs w:val="24"/>
              </w:rPr>
              <w:t>Std. Deviation</w:t>
            </w:r>
          </w:p>
        </w:tc>
      </w:tr>
      <w:tr w:rsidR="000C43E5" w:rsidRPr="000C43E5" w14:paraId="451B46B8" w14:textId="77777777" w:rsidTr="000C43E5">
        <w:trPr>
          <w:cantSplit/>
        </w:trPr>
        <w:tc>
          <w:tcPr>
            <w:tcW w:w="1134" w:type="dxa"/>
            <w:tcBorders>
              <w:top w:val="single" w:sz="8" w:space="0" w:color="152935"/>
              <w:left w:val="nil"/>
              <w:bottom w:val="single" w:sz="8" w:space="0" w:color="AEAEAE"/>
              <w:right w:val="nil"/>
              <w:tl2br w:val="nil"/>
              <w:tr2bl w:val="nil"/>
            </w:tcBorders>
            <w:shd w:val="clear" w:color="auto" w:fill="E0E0E0"/>
          </w:tcPr>
          <w:p w14:paraId="58ED13E0" w14:textId="77777777" w:rsidR="000C43E5" w:rsidRPr="000C43E5" w:rsidRDefault="000C43E5" w:rsidP="000C43E5">
            <w:pPr>
              <w:ind w:left="60" w:right="60"/>
              <w:contextualSpacing/>
              <w:rPr>
                <w:color w:val="264A60"/>
                <w:sz w:val="24"/>
                <w:szCs w:val="24"/>
              </w:rPr>
            </w:pPr>
            <w:r w:rsidRPr="000C43E5">
              <w:rPr>
                <w:color w:val="264A60"/>
                <w:sz w:val="24"/>
                <w:szCs w:val="24"/>
              </w:rPr>
              <w:t>ETR</w:t>
            </w:r>
          </w:p>
        </w:tc>
        <w:tc>
          <w:tcPr>
            <w:tcW w:w="993" w:type="dxa"/>
            <w:tcBorders>
              <w:top w:val="single" w:sz="8" w:space="0" w:color="152935"/>
              <w:left w:val="nil"/>
              <w:bottom w:val="single" w:sz="8" w:space="0" w:color="AEAEAE"/>
              <w:right w:val="single" w:sz="8" w:space="0" w:color="E0E0E0"/>
              <w:tl2br w:val="nil"/>
              <w:tr2bl w:val="nil"/>
            </w:tcBorders>
            <w:shd w:val="clear" w:color="auto" w:fill="FFFFFF"/>
          </w:tcPr>
          <w:p w14:paraId="1A2064CD"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166</w:t>
            </w:r>
          </w:p>
        </w:tc>
        <w:tc>
          <w:tcPr>
            <w:tcW w:w="155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7C7B994" w14:textId="77777777" w:rsidR="000C43E5" w:rsidRPr="000C43E5" w:rsidRDefault="000C43E5" w:rsidP="000C43E5">
            <w:pPr>
              <w:ind w:left="60" w:right="60"/>
              <w:contextualSpacing/>
              <w:jc w:val="right"/>
              <w:rPr>
                <w:color w:val="010205"/>
                <w:sz w:val="24"/>
                <w:szCs w:val="24"/>
              </w:rPr>
            </w:pPr>
            <w:r w:rsidRPr="000C43E5">
              <w:rPr>
                <w:color w:val="010205"/>
                <w:sz w:val="24"/>
                <w:szCs w:val="24"/>
              </w:rPr>
              <w:t>-6.3521</w:t>
            </w:r>
          </w:p>
        </w:tc>
        <w:tc>
          <w:tcPr>
            <w:tcW w:w="1417"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42749F0" w14:textId="77777777" w:rsidR="000C43E5" w:rsidRPr="000C43E5" w:rsidRDefault="000C43E5" w:rsidP="000C43E5">
            <w:pPr>
              <w:ind w:left="60" w:right="60"/>
              <w:contextualSpacing/>
              <w:jc w:val="right"/>
              <w:rPr>
                <w:color w:val="010205"/>
                <w:sz w:val="24"/>
                <w:szCs w:val="24"/>
              </w:rPr>
            </w:pPr>
            <w:r w:rsidRPr="000C43E5">
              <w:rPr>
                <w:color w:val="010205"/>
                <w:sz w:val="24"/>
                <w:szCs w:val="24"/>
              </w:rPr>
              <w:t>2.7817</w:t>
            </w:r>
          </w:p>
        </w:tc>
        <w:tc>
          <w:tcPr>
            <w:tcW w:w="141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24C80F6" w14:textId="77777777" w:rsidR="000C43E5" w:rsidRPr="000C43E5" w:rsidRDefault="000C43E5" w:rsidP="000C43E5">
            <w:pPr>
              <w:ind w:left="60" w:right="60"/>
              <w:contextualSpacing/>
              <w:jc w:val="right"/>
              <w:rPr>
                <w:color w:val="010205"/>
                <w:sz w:val="24"/>
                <w:szCs w:val="24"/>
              </w:rPr>
            </w:pPr>
            <w:r w:rsidRPr="000C43E5">
              <w:rPr>
                <w:color w:val="010205"/>
                <w:sz w:val="24"/>
                <w:szCs w:val="24"/>
              </w:rPr>
              <w:t>-.039569</w:t>
            </w:r>
          </w:p>
        </w:tc>
        <w:tc>
          <w:tcPr>
            <w:tcW w:w="1984" w:type="dxa"/>
            <w:tcBorders>
              <w:top w:val="single" w:sz="8" w:space="0" w:color="152935"/>
              <w:left w:val="single" w:sz="8" w:space="0" w:color="E0E0E0"/>
              <w:bottom w:val="single" w:sz="8" w:space="0" w:color="AEAEAE"/>
              <w:right w:val="nil"/>
              <w:tl2br w:val="nil"/>
              <w:tr2bl w:val="nil"/>
            </w:tcBorders>
            <w:shd w:val="clear" w:color="auto" w:fill="FFFFFF"/>
          </w:tcPr>
          <w:p w14:paraId="6BFC321C" w14:textId="77777777" w:rsidR="000C43E5" w:rsidRPr="000C43E5" w:rsidRDefault="000C43E5" w:rsidP="000C43E5">
            <w:pPr>
              <w:ind w:left="60" w:right="60"/>
              <w:contextualSpacing/>
              <w:jc w:val="right"/>
              <w:rPr>
                <w:color w:val="010205"/>
                <w:sz w:val="24"/>
                <w:szCs w:val="24"/>
              </w:rPr>
            </w:pPr>
            <w:r w:rsidRPr="000C43E5">
              <w:rPr>
                <w:color w:val="010205"/>
                <w:sz w:val="24"/>
                <w:szCs w:val="24"/>
              </w:rPr>
              <w:t>.6771822</w:t>
            </w:r>
          </w:p>
        </w:tc>
      </w:tr>
      <w:tr w:rsidR="000C43E5" w:rsidRPr="000C43E5" w14:paraId="4027AAD0" w14:textId="77777777" w:rsidTr="000C43E5">
        <w:trPr>
          <w:cantSplit/>
        </w:trPr>
        <w:tc>
          <w:tcPr>
            <w:tcW w:w="1134" w:type="dxa"/>
            <w:tcBorders>
              <w:top w:val="single" w:sz="8" w:space="0" w:color="AEAEAE"/>
              <w:left w:val="nil"/>
              <w:bottom w:val="single" w:sz="8" w:space="0" w:color="AEAEAE"/>
              <w:right w:val="nil"/>
              <w:tl2br w:val="nil"/>
              <w:tr2bl w:val="nil"/>
            </w:tcBorders>
            <w:shd w:val="clear" w:color="auto" w:fill="E0E0E0"/>
          </w:tcPr>
          <w:p w14:paraId="4274E612" w14:textId="77777777" w:rsidR="000C43E5" w:rsidRPr="000C43E5" w:rsidRDefault="000C43E5" w:rsidP="000C43E5">
            <w:pPr>
              <w:ind w:left="60" w:right="60"/>
              <w:contextualSpacing/>
              <w:rPr>
                <w:color w:val="264A60"/>
                <w:sz w:val="24"/>
                <w:szCs w:val="24"/>
              </w:rPr>
            </w:pPr>
            <w:r w:rsidRPr="000C43E5">
              <w:rPr>
                <w:color w:val="264A60"/>
                <w:sz w:val="24"/>
                <w:szCs w:val="24"/>
              </w:rPr>
              <w:t>ROA</w:t>
            </w:r>
          </w:p>
        </w:tc>
        <w:tc>
          <w:tcPr>
            <w:tcW w:w="993" w:type="dxa"/>
            <w:tcBorders>
              <w:top w:val="single" w:sz="8" w:space="0" w:color="AEAEAE"/>
              <w:left w:val="nil"/>
              <w:bottom w:val="single" w:sz="8" w:space="0" w:color="AEAEAE"/>
              <w:right w:val="single" w:sz="8" w:space="0" w:color="E0E0E0"/>
              <w:tl2br w:val="nil"/>
              <w:tr2bl w:val="nil"/>
            </w:tcBorders>
            <w:shd w:val="clear" w:color="auto" w:fill="FFFFFF"/>
          </w:tcPr>
          <w:p w14:paraId="19AB2997"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166</w:t>
            </w:r>
          </w:p>
        </w:tc>
        <w:tc>
          <w:tcPr>
            <w:tcW w:w="155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66752A8" w14:textId="77777777" w:rsidR="000C43E5" w:rsidRPr="000C43E5" w:rsidRDefault="000C43E5" w:rsidP="000C43E5">
            <w:pPr>
              <w:ind w:left="60" w:right="60"/>
              <w:contextualSpacing/>
              <w:jc w:val="right"/>
              <w:rPr>
                <w:color w:val="010205"/>
                <w:sz w:val="24"/>
                <w:szCs w:val="24"/>
              </w:rPr>
            </w:pPr>
            <w:r w:rsidRPr="000C43E5">
              <w:rPr>
                <w:color w:val="010205"/>
                <w:sz w:val="24"/>
                <w:szCs w:val="24"/>
              </w:rPr>
              <w:t>-.9377</w:t>
            </w:r>
          </w:p>
        </w:tc>
        <w:tc>
          <w:tcPr>
            <w:tcW w:w="141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4DAD7D6"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.1997</w:t>
            </w:r>
          </w:p>
        </w:tc>
        <w:tc>
          <w:tcPr>
            <w:tcW w:w="141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A9720A7" w14:textId="77777777" w:rsidR="000C43E5" w:rsidRPr="000C43E5" w:rsidRDefault="000C43E5" w:rsidP="000C43E5">
            <w:pPr>
              <w:ind w:left="60" w:right="60"/>
              <w:contextualSpacing/>
              <w:jc w:val="right"/>
              <w:rPr>
                <w:color w:val="010205"/>
                <w:sz w:val="24"/>
                <w:szCs w:val="24"/>
              </w:rPr>
            </w:pPr>
            <w:r w:rsidRPr="000C43E5">
              <w:rPr>
                <w:color w:val="010205"/>
                <w:sz w:val="24"/>
                <w:szCs w:val="24"/>
              </w:rPr>
              <w:t>-.024391</w:t>
            </w:r>
          </w:p>
        </w:tc>
        <w:tc>
          <w:tcPr>
            <w:tcW w:w="1984" w:type="dxa"/>
            <w:tcBorders>
              <w:top w:val="single" w:sz="8" w:space="0" w:color="AEAEAE"/>
              <w:left w:val="single" w:sz="8" w:space="0" w:color="E0E0E0"/>
              <w:bottom w:val="single" w:sz="8" w:space="0" w:color="AEAEAE"/>
              <w:right w:val="nil"/>
              <w:tl2br w:val="nil"/>
              <w:tr2bl w:val="nil"/>
            </w:tcBorders>
            <w:shd w:val="clear" w:color="auto" w:fill="FFFFFF"/>
          </w:tcPr>
          <w:p w14:paraId="42CCA6CC"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.1350154</w:t>
            </w:r>
          </w:p>
        </w:tc>
      </w:tr>
      <w:tr w:rsidR="000C43E5" w:rsidRPr="000C43E5" w14:paraId="28ED0728" w14:textId="77777777" w:rsidTr="000C43E5">
        <w:trPr>
          <w:cantSplit/>
        </w:trPr>
        <w:tc>
          <w:tcPr>
            <w:tcW w:w="1134" w:type="dxa"/>
            <w:tcBorders>
              <w:top w:val="single" w:sz="8" w:space="0" w:color="AEAEAE"/>
              <w:left w:val="nil"/>
              <w:bottom w:val="single" w:sz="8" w:space="0" w:color="AEAEAE"/>
              <w:right w:val="nil"/>
              <w:tl2br w:val="nil"/>
              <w:tr2bl w:val="nil"/>
            </w:tcBorders>
            <w:shd w:val="clear" w:color="auto" w:fill="E0E0E0"/>
          </w:tcPr>
          <w:p w14:paraId="4CD0CB13" w14:textId="77777777" w:rsidR="000C43E5" w:rsidRPr="000C43E5" w:rsidRDefault="000C43E5" w:rsidP="000C43E5">
            <w:pPr>
              <w:ind w:left="60" w:right="60"/>
              <w:contextualSpacing/>
              <w:rPr>
                <w:color w:val="264A60"/>
                <w:sz w:val="24"/>
                <w:szCs w:val="24"/>
              </w:rPr>
            </w:pPr>
            <w:r w:rsidRPr="000C43E5">
              <w:rPr>
                <w:color w:val="264A60"/>
                <w:sz w:val="24"/>
                <w:szCs w:val="24"/>
              </w:rPr>
              <w:t>CR</w:t>
            </w:r>
          </w:p>
        </w:tc>
        <w:tc>
          <w:tcPr>
            <w:tcW w:w="993" w:type="dxa"/>
            <w:tcBorders>
              <w:top w:val="single" w:sz="8" w:space="0" w:color="AEAEAE"/>
              <w:left w:val="nil"/>
              <w:bottom w:val="single" w:sz="8" w:space="0" w:color="AEAEAE"/>
              <w:right w:val="single" w:sz="8" w:space="0" w:color="E0E0E0"/>
              <w:tl2br w:val="nil"/>
              <w:tr2bl w:val="nil"/>
            </w:tcBorders>
            <w:shd w:val="clear" w:color="auto" w:fill="FFFFFF"/>
          </w:tcPr>
          <w:p w14:paraId="010B65C2"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166</w:t>
            </w:r>
          </w:p>
        </w:tc>
        <w:tc>
          <w:tcPr>
            <w:tcW w:w="155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D4B6C64" w14:textId="77777777" w:rsidR="000C43E5" w:rsidRPr="000C43E5" w:rsidRDefault="000C43E5" w:rsidP="000C43E5">
            <w:pPr>
              <w:ind w:left="60" w:right="60"/>
              <w:contextualSpacing/>
              <w:jc w:val="right"/>
              <w:rPr>
                <w:color w:val="010205"/>
                <w:sz w:val="24"/>
                <w:szCs w:val="24"/>
              </w:rPr>
            </w:pPr>
            <w:r w:rsidRPr="000C43E5">
              <w:rPr>
                <w:color w:val="010205"/>
                <w:sz w:val="24"/>
                <w:szCs w:val="24"/>
              </w:rPr>
              <w:t>.0024</w:t>
            </w:r>
          </w:p>
        </w:tc>
        <w:tc>
          <w:tcPr>
            <w:tcW w:w="141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189F28C"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10.5263</w:t>
            </w:r>
          </w:p>
        </w:tc>
        <w:tc>
          <w:tcPr>
            <w:tcW w:w="141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42ACF5E" w14:textId="77777777" w:rsidR="000C43E5" w:rsidRPr="000C43E5" w:rsidRDefault="000C43E5" w:rsidP="000C43E5">
            <w:pPr>
              <w:ind w:left="60" w:right="60"/>
              <w:contextualSpacing/>
              <w:jc w:val="right"/>
              <w:rPr>
                <w:color w:val="010205"/>
                <w:sz w:val="24"/>
                <w:szCs w:val="24"/>
              </w:rPr>
            </w:pPr>
            <w:r w:rsidRPr="000C43E5">
              <w:rPr>
                <w:color w:val="010205"/>
                <w:sz w:val="24"/>
                <w:szCs w:val="24"/>
              </w:rPr>
              <w:t>2.092743</w:t>
            </w:r>
          </w:p>
        </w:tc>
        <w:tc>
          <w:tcPr>
            <w:tcW w:w="1984" w:type="dxa"/>
            <w:tcBorders>
              <w:top w:val="single" w:sz="8" w:space="0" w:color="AEAEAE"/>
              <w:left w:val="single" w:sz="8" w:space="0" w:color="E0E0E0"/>
              <w:bottom w:val="single" w:sz="8" w:space="0" w:color="AEAEAE"/>
              <w:right w:val="nil"/>
              <w:tl2br w:val="nil"/>
              <w:tr2bl w:val="nil"/>
            </w:tcBorders>
            <w:shd w:val="clear" w:color="auto" w:fill="FFFFFF"/>
          </w:tcPr>
          <w:p w14:paraId="59623DE3"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1.8665217</w:t>
            </w:r>
          </w:p>
        </w:tc>
      </w:tr>
      <w:tr w:rsidR="000C43E5" w:rsidRPr="000C43E5" w14:paraId="57C9E8D9" w14:textId="77777777" w:rsidTr="000C43E5">
        <w:trPr>
          <w:cantSplit/>
        </w:trPr>
        <w:tc>
          <w:tcPr>
            <w:tcW w:w="1134" w:type="dxa"/>
            <w:tcBorders>
              <w:top w:val="single" w:sz="8" w:space="0" w:color="AEAEAE"/>
              <w:left w:val="nil"/>
              <w:bottom w:val="single" w:sz="8" w:space="0" w:color="AEAEAE"/>
              <w:right w:val="nil"/>
              <w:tl2br w:val="nil"/>
              <w:tr2bl w:val="nil"/>
            </w:tcBorders>
            <w:shd w:val="clear" w:color="auto" w:fill="E0E0E0"/>
          </w:tcPr>
          <w:p w14:paraId="28384D45" w14:textId="77777777" w:rsidR="000C43E5" w:rsidRPr="000C43E5" w:rsidRDefault="000C43E5" w:rsidP="000C43E5">
            <w:pPr>
              <w:ind w:left="60" w:right="60"/>
              <w:contextualSpacing/>
              <w:rPr>
                <w:color w:val="264A60"/>
                <w:sz w:val="24"/>
                <w:szCs w:val="24"/>
              </w:rPr>
            </w:pPr>
            <w:r w:rsidRPr="000C43E5">
              <w:rPr>
                <w:color w:val="264A60"/>
                <w:sz w:val="24"/>
                <w:szCs w:val="24"/>
              </w:rPr>
              <w:t>LEV</w:t>
            </w:r>
          </w:p>
        </w:tc>
        <w:tc>
          <w:tcPr>
            <w:tcW w:w="993" w:type="dxa"/>
            <w:tcBorders>
              <w:top w:val="single" w:sz="8" w:space="0" w:color="AEAEAE"/>
              <w:left w:val="nil"/>
              <w:bottom w:val="single" w:sz="8" w:space="0" w:color="AEAEAE"/>
              <w:right w:val="single" w:sz="8" w:space="0" w:color="E0E0E0"/>
              <w:tl2br w:val="nil"/>
              <w:tr2bl w:val="nil"/>
            </w:tcBorders>
            <w:shd w:val="clear" w:color="auto" w:fill="FFFFFF"/>
          </w:tcPr>
          <w:p w14:paraId="12F90B56"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166</w:t>
            </w:r>
          </w:p>
        </w:tc>
        <w:tc>
          <w:tcPr>
            <w:tcW w:w="155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734AFB7"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-10.2555</w:t>
            </w:r>
          </w:p>
        </w:tc>
        <w:tc>
          <w:tcPr>
            <w:tcW w:w="141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B45F8A4" w14:textId="77777777" w:rsidR="000C43E5" w:rsidRPr="000C43E5" w:rsidRDefault="000C43E5" w:rsidP="000C43E5">
            <w:pPr>
              <w:ind w:left="60" w:right="60"/>
              <w:contextualSpacing/>
              <w:jc w:val="right"/>
              <w:rPr>
                <w:color w:val="010205"/>
                <w:sz w:val="24"/>
                <w:szCs w:val="24"/>
              </w:rPr>
            </w:pPr>
            <w:r w:rsidRPr="000C43E5">
              <w:rPr>
                <w:color w:val="010205"/>
                <w:sz w:val="24"/>
                <w:szCs w:val="24"/>
              </w:rPr>
              <w:t>8.6850</w:t>
            </w:r>
          </w:p>
        </w:tc>
        <w:tc>
          <w:tcPr>
            <w:tcW w:w="141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6607A7B"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1.044250</w:t>
            </w:r>
          </w:p>
        </w:tc>
        <w:tc>
          <w:tcPr>
            <w:tcW w:w="1984" w:type="dxa"/>
            <w:tcBorders>
              <w:top w:val="single" w:sz="8" w:space="0" w:color="AEAEAE"/>
              <w:left w:val="single" w:sz="8" w:space="0" w:color="E0E0E0"/>
              <w:bottom w:val="single" w:sz="8" w:space="0" w:color="AEAEAE"/>
              <w:right w:val="nil"/>
              <w:tl2br w:val="nil"/>
              <w:tr2bl w:val="nil"/>
            </w:tcBorders>
            <w:shd w:val="clear" w:color="auto" w:fill="FFFFFF"/>
          </w:tcPr>
          <w:p w14:paraId="3E477E6D"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1.8736402</w:t>
            </w:r>
          </w:p>
        </w:tc>
      </w:tr>
      <w:tr w:rsidR="000C43E5" w:rsidRPr="000C43E5" w14:paraId="4C963BE1" w14:textId="77777777" w:rsidTr="000C43E5">
        <w:trPr>
          <w:cantSplit/>
        </w:trPr>
        <w:tc>
          <w:tcPr>
            <w:tcW w:w="1134" w:type="dxa"/>
            <w:tcBorders>
              <w:top w:val="single" w:sz="8" w:space="0" w:color="AEAEAE"/>
              <w:left w:val="nil"/>
              <w:bottom w:val="single" w:sz="8" w:space="0" w:color="152935"/>
              <w:right w:val="nil"/>
              <w:tl2br w:val="nil"/>
              <w:tr2bl w:val="nil"/>
            </w:tcBorders>
            <w:shd w:val="clear" w:color="auto" w:fill="E0E0E0"/>
          </w:tcPr>
          <w:p w14:paraId="77F6B115" w14:textId="77777777" w:rsidR="000C43E5" w:rsidRPr="000C43E5" w:rsidRDefault="000C43E5" w:rsidP="000C43E5">
            <w:pPr>
              <w:ind w:left="60" w:right="60"/>
              <w:contextualSpacing/>
              <w:rPr>
                <w:color w:val="264A60"/>
                <w:sz w:val="24"/>
                <w:szCs w:val="24"/>
              </w:rPr>
            </w:pPr>
            <w:r w:rsidRPr="000C43E5">
              <w:rPr>
                <w:color w:val="264A60"/>
                <w:sz w:val="24"/>
                <w:szCs w:val="24"/>
              </w:rPr>
              <w:t>Valid N</w:t>
            </w:r>
          </w:p>
        </w:tc>
        <w:tc>
          <w:tcPr>
            <w:tcW w:w="993" w:type="dxa"/>
            <w:tcBorders>
              <w:top w:val="single" w:sz="8" w:space="0" w:color="AEAEAE"/>
              <w:left w:val="nil"/>
              <w:bottom w:val="single" w:sz="8" w:space="0" w:color="152935"/>
              <w:right w:val="single" w:sz="8" w:space="0" w:color="E0E0E0"/>
              <w:tl2br w:val="nil"/>
              <w:tr2bl w:val="nil"/>
            </w:tcBorders>
            <w:shd w:val="clear" w:color="auto" w:fill="FFFFFF"/>
          </w:tcPr>
          <w:p w14:paraId="4DF4742E" w14:textId="77777777" w:rsidR="000C43E5" w:rsidRPr="000C43E5" w:rsidRDefault="000C43E5" w:rsidP="000C43E5">
            <w:pPr>
              <w:ind w:left="60" w:right="60"/>
              <w:contextualSpacing/>
              <w:jc w:val="right"/>
              <w:rPr>
                <w:color w:val="010205"/>
                <w:sz w:val="24"/>
                <w:szCs w:val="24"/>
              </w:rPr>
            </w:pPr>
            <w:r w:rsidRPr="000C43E5">
              <w:rPr>
                <w:color w:val="010205"/>
                <w:sz w:val="24"/>
                <w:szCs w:val="24"/>
              </w:rPr>
              <w:t>166</w:t>
            </w:r>
          </w:p>
        </w:tc>
        <w:tc>
          <w:tcPr>
            <w:tcW w:w="1559"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3619E4CC" w14:textId="77777777" w:rsidR="000C43E5" w:rsidRPr="000C43E5" w:rsidRDefault="000C43E5" w:rsidP="000C43E5">
            <w:pPr>
              <w:contextualSpacing/>
              <w:rPr>
                <w:sz w:val="24"/>
                <w:szCs w:val="24"/>
              </w:rPr>
            </w:pPr>
          </w:p>
        </w:tc>
        <w:tc>
          <w:tcPr>
            <w:tcW w:w="1417"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1A6B4904" w14:textId="77777777" w:rsidR="000C43E5" w:rsidRPr="000C43E5" w:rsidRDefault="000C43E5" w:rsidP="000C43E5">
            <w:pPr>
              <w:contextualSpacing/>
              <w:rPr>
                <w:sz w:val="24"/>
                <w:szCs w:val="24"/>
              </w:rPr>
            </w:pPr>
          </w:p>
        </w:tc>
        <w:tc>
          <w:tcPr>
            <w:tcW w:w="1418"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20DCEF4E" w14:textId="77777777" w:rsidR="000C43E5" w:rsidRPr="000C43E5" w:rsidRDefault="000C43E5" w:rsidP="000C43E5">
            <w:pPr>
              <w:contextualSpacing/>
              <w:rPr>
                <w:sz w:val="24"/>
                <w:szCs w:val="24"/>
              </w:rPr>
            </w:pPr>
          </w:p>
        </w:tc>
        <w:tc>
          <w:tcPr>
            <w:tcW w:w="1984"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56D53670" w14:textId="77777777" w:rsidR="000C43E5" w:rsidRPr="000C43E5" w:rsidRDefault="000C43E5" w:rsidP="000C43E5">
            <w:pPr>
              <w:contextualSpacing/>
              <w:rPr>
                <w:sz w:val="24"/>
                <w:szCs w:val="24"/>
              </w:rPr>
            </w:pPr>
          </w:p>
        </w:tc>
      </w:tr>
    </w:tbl>
    <w:p w14:paraId="3A8414BC" w14:textId="77777777" w:rsidR="000C43E5" w:rsidRPr="000C43E5" w:rsidRDefault="000C43E5" w:rsidP="000C43E5">
      <w:pPr>
        <w:pStyle w:val="ListParagraph"/>
        <w:shd w:val="clear" w:color="auto" w:fill="FFFFFF"/>
        <w:spacing w:after="0" w:line="240" w:lineRule="auto"/>
        <w:ind w:left="426"/>
        <w:rPr>
          <w:rFonts w:ascii="Times New Roman" w:hAnsi="Times New Roman" w:cs="Times New Roman"/>
          <w:sz w:val="24"/>
          <w:szCs w:val="24"/>
        </w:rPr>
      </w:pPr>
    </w:p>
    <w:p w14:paraId="781C3CA5" w14:textId="77777777" w:rsidR="000C43E5" w:rsidRPr="000C43E5" w:rsidRDefault="000C43E5" w:rsidP="000C43E5">
      <w:pPr>
        <w:ind w:left="60" w:right="60" w:firstLine="507"/>
        <w:contextualSpacing/>
        <w:jc w:val="both"/>
        <w:rPr>
          <w:color w:val="010205"/>
          <w:sz w:val="24"/>
          <w:szCs w:val="24"/>
        </w:rPr>
      </w:pPr>
      <w:r w:rsidRPr="000C43E5">
        <w:rPr>
          <w:sz w:val="24"/>
          <w:szCs w:val="24"/>
        </w:rPr>
        <w:t xml:space="preserve">Based on descriptive statistics in table 1 above, it is known that the distribution of data for tax avoidance variables with a minimum value of -6.3521 and a maximum value of 2.7817. The average variable value of tax avoidance is -.039569. This value is negative because the average sample company suffered a loss in the last year. </w:t>
      </w:r>
      <w:r w:rsidRPr="000C43E5">
        <w:rPr>
          <w:color w:val="010205"/>
          <w:sz w:val="24"/>
          <w:szCs w:val="24"/>
        </w:rPr>
        <w:t>Similarly, the distribution of data on profitability variables with a minimum value of -.9377 and a maximum value of 0.1997. Average negative profitability variable value of -0.024391.</w:t>
      </w:r>
    </w:p>
    <w:p w14:paraId="6E4F89AA" w14:textId="77777777" w:rsidR="000C43E5" w:rsidRPr="000C43E5" w:rsidRDefault="000C43E5" w:rsidP="000C43E5">
      <w:pPr>
        <w:ind w:left="60" w:right="60" w:firstLine="507"/>
        <w:contextualSpacing/>
        <w:jc w:val="both"/>
        <w:rPr>
          <w:color w:val="010205"/>
          <w:sz w:val="24"/>
          <w:szCs w:val="24"/>
        </w:rPr>
      </w:pPr>
      <w:r w:rsidRPr="000C43E5">
        <w:rPr>
          <w:color w:val="010205"/>
          <w:sz w:val="24"/>
          <w:szCs w:val="24"/>
        </w:rPr>
        <w:t>The average of liquidity has a value of 2.092743. This means that the ability to pay the company's short-term debt is very double its current debt. The minimum value on the leverage variable is -10.2555. This happens because the company suffers a fairly sharp loss which results in the value of equity to be negative. The average leverage value of the company is 1.044250, meaning that the leverage generated with DER shows that the company uses more debt than equity to finance its operations.</w:t>
      </w:r>
    </w:p>
    <w:p w14:paraId="044EE342" w14:textId="69AFF8A7" w:rsidR="00C40A65" w:rsidRPr="000C43E5" w:rsidRDefault="00C40A65" w:rsidP="00C40A65">
      <w:pPr>
        <w:pStyle w:val="Heading1"/>
        <w:ind w:left="0" w:right="30"/>
        <w:jc w:val="center"/>
      </w:pPr>
    </w:p>
    <w:tbl>
      <w:tblPr>
        <w:tblpPr w:leftFromText="180" w:rightFromText="180" w:vertAnchor="text" w:horzAnchor="margin" w:tblpXSpec="center" w:tblpY="29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6"/>
        <w:gridCol w:w="424"/>
        <w:gridCol w:w="569"/>
        <w:gridCol w:w="566"/>
        <w:gridCol w:w="708"/>
        <w:gridCol w:w="850"/>
      </w:tblGrid>
      <w:tr w:rsidR="00C40A65" w14:paraId="47FC988E" w14:textId="77777777" w:rsidTr="001B5598">
        <w:trPr>
          <w:trHeight w:val="284"/>
        </w:trPr>
        <w:tc>
          <w:tcPr>
            <w:tcW w:w="5253" w:type="dxa"/>
            <w:gridSpan w:val="6"/>
          </w:tcPr>
          <w:p w14:paraId="617105E9" w14:textId="77777777" w:rsidR="00C40A65" w:rsidRDefault="00C40A65" w:rsidP="001B5598">
            <w:pPr>
              <w:pStyle w:val="TableParagraph"/>
              <w:ind w:left="1735"/>
              <w:rPr>
                <w:b/>
                <w:sz w:val="20"/>
              </w:rPr>
            </w:pPr>
            <w:r>
              <w:rPr>
                <w:b/>
                <w:sz w:val="20"/>
              </w:rPr>
              <w:t>Descriptive Statistics</w:t>
            </w:r>
          </w:p>
        </w:tc>
      </w:tr>
      <w:tr w:rsidR="00C40A65" w14:paraId="6C82EAD8" w14:textId="77777777" w:rsidTr="001B5598">
        <w:trPr>
          <w:trHeight w:val="687"/>
        </w:trPr>
        <w:tc>
          <w:tcPr>
            <w:tcW w:w="2136" w:type="dxa"/>
          </w:tcPr>
          <w:p w14:paraId="4075626B" w14:textId="77777777" w:rsidR="00C40A65" w:rsidRDefault="00C40A65" w:rsidP="001B5598">
            <w:pPr>
              <w:pStyle w:val="TableParagraph"/>
              <w:rPr>
                <w:sz w:val="18"/>
              </w:rPr>
            </w:pPr>
          </w:p>
          <w:p w14:paraId="724D6CBF" w14:textId="77777777" w:rsidR="00C40A65" w:rsidRDefault="00C40A65" w:rsidP="001B5598">
            <w:pPr>
              <w:pStyle w:val="TableParagraph"/>
              <w:ind w:left="701" w:right="685"/>
              <w:jc w:val="center"/>
              <w:rPr>
                <w:sz w:val="20"/>
              </w:rPr>
            </w:pPr>
            <w:r>
              <w:rPr>
                <w:sz w:val="20"/>
              </w:rPr>
              <w:t>Variabel</w:t>
            </w:r>
          </w:p>
        </w:tc>
        <w:tc>
          <w:tcPr>
            <w:tcW w:w="424" w:type="dxa"/>
          </w:tcPr>
          <w:p w14:paraId="1F51DF56" w14:textId="77777777" w:rsidR="00C40A65" w:rsidRDefault="00C40A65" w:rsidP="001B5598">
            <w:pPr>
              <w:pStyle w:val="TableParagraph"/>
              <w:rPr>
                <w:sz w:val="18"/>
              </w:rPr>
            </w:pPr>
          </w:p>
          <w:p w14:paraId="22F1BB23" w14:textId="77777777" w:rsidR="00C40A65" w:rsidRDefault="00C40A65" w:rsidP="001B5598">
            <w:pPr>
              <w:pStyle w:val="TableParagraph"/>
              <w:ind w:left="18"/>
              <w:jc w:val="center"/>
              <w:rPr>
                <w:sz w:val="20"/>
              </w:rPr>
            </w:pPr>
            <w:r>
              <w:rPr>
                <w:w w:val="99"/>
                <w:sz w:val="20"/>
              </w:rPr>
              <w:t>N</w:t>
            </w:r>
          </w:p>
        </w:tc>
        <w:tc>
          <w:tcPr>
            <w:tcW w:w="569" w:type="dxa"/>
          </w:tcPr>
          <w:p w14:paraId="2EA4FFD6" w14:textId="77777777" w:rsidR="00C40A65" w:rsidRDefault="00C40A65" w:rsidP="001B5598">
            <w:pPr>
              <w:pStyle w:val="TableParagraph"/>
              <w:rPr>
                <w:sz w:val="18"/>
              </w:rPr>
            </w:pPr>
          </w:p>
          <w:p w14:paraId="0AF79195" w14:textId="77777777" w:rsidR="00C40A65" w:rsidRDefault="00C40A65" w:rsidP="001B5598">
            <w:pPr>
              <w:pStyle w:val="TableParagraph"/>
              <w:ind w:left="116"/>
              <w:rPr>
                <w:sz w:val="20"/>
              </w:rPr>
            </w:pPr>
            <w:r>
              <w:rPr>
                <w:sz w:val="20"/>
              </w:rPr>
              <w:t>Min</w:t>
            </w:r>
          </w:p>
        </w:tc>
        <w:tc>
          <w:tcPr>
            <w:tcW w:w="566" w:type="dxa"/>
          </w:tcPr>
          <w:p w14:paraId="5698B6A0" w14:textId="77777777" w:rsidR="00C40A65" w:rsidRDefault="00C40A65" w:rsidP="001B5598">
            <w:pPr>
              <w:pStyle w:val="TableParagraph"/>
              <w:rPr>
                <w:sz w:val="18"/>
              </w:rPr>
            </w:pPr>
          </w:p>
          <w:p w14:paraId="3BA30C7D" w14:textId="77777777" w:rsidR="00C40A65" w:rsidRDefault="00C40A65" w:rsidP="001B5598">
            <w:pPr>
              <w:pStyle w:val="TableParagraph"/>
              <w:ind w:left="79" w:right="60"/>
              <w:jc w:val="center"/>
              <w:rPr>
                <w:sz w:val="20"/>
              </w:rPr>
            </w:pPr>
            <w:r>
              <w:rPr>
                <w:sz w:val="20"/>
              </w:rPr>
              <w:t>Max</w:t>
            </w:r>
          </w:p>
        </w:tc>
        <w:tc>
          <w:tcPr>
            <w:tcW w:w="708" w:type="dxa"/>
          </w:tcPr>
          <w:p w14:paraId="7922F49E" w14:textId="77777777" w:rsidR="00C40A65" w:rsidRDefault="00C40A65" w:rsidP="001B5598">
            <w:pPr>
              <w:pStyle w:val="TableParagraph"/>
              <w:rPr>
                <w:sz w:val="18"/>
              </w:rPr>
            </w:pPr>
          </w:p>
          <w:p w14:paraId="4D0F501A" w14:textId="77777777" w:rsidR="00C40A65" w:rsidRDefault="00C40A65" w:rsidP="001B5598">
            <w:pPr>
              <w:pStyle w:val="TableParagraph"/>
              <w:ind w:left="126"/>
              <w:rPr>
                <w:sz w:val="20"/>
              </w:rPr>
            </w:pPr>
            <w:r>
              <w:rPr>
                <w:sz w:val="20"/>
              </w:rPr>
              <w:t>Mean</w:t>
            </w:r>
          </w:p>
        </w:tc>
        <w:tc>
          <w:tcPr>
            <w:tcW w:w="850" w:type="dxa"/>
          </w:tcPr>
          <w:p w14:paraId="5F80D547" w14:textId="77777777" w:rsidR="00C40A65" w:rsidRDefault="00C40A65" w:rsidP="001B5598">
            <w:pPr>
              <w:pStyle w:val="TableParagraph"/>
              <w:ind w:left="234" w:right="211" w:firstLine="33"/>
              <w:rPr>
                <w:sz w:val="20"/>
              </w:rPr>
            </w:pPr>
            <w:r>
              <w:rPr>
                <w:sz w:val="20"/>
              </w:rPr>
              <w:t xml:space="preserve">Std. </w:t>
            </w:r>
            <w:r>
              <w:rPr>
                <w:w w:val="95"/>
                <w:sz w:val="20"/>
              </w:rPr>
              <w:t>Dev.</w:t>
            </w:r>
          </w:p>
        </w:tc>
      </w:tr>
      <w:tr w:rsidR="00C40A65" w14:paraId="0062A397" w14:textId="77777777" w:rsidTr="001B5598">
        <w:trPr>
          <w:trHeight w:val="265"/>
        </w:trPr>
        <w:tc>
          <w:tcPr>
            <w:tcW w:w="2136" w:type="dxa"/>
          </w:tcPr>
          <w:p w14:paraId="75784971" w14:textId="77777777" w:rsidR="00C40A65" w:rsidRDefault="00C40A65" w:rsidP="001B5598">
            <w:pPr>
              <w:pStyle w:val="TableParagraph"/>
              <w:ind w:left="69"/>
              <w:jc w:val="center"/>
              <w:rPr>
                <w:sz w:val="20"/>
              </w:rPr>
            </w:pPr>
            <w:r>
              <w:rPr>
                <w:sz w:val="20"/>
              </w:rPr>
              <w:t>Etika_Profesi_Auditor</w:t>
            </w:r>
          </w:p>
        </w:tc>
        <w:tc>
          <w:tcPr>
            <w:tcW w:w="424" w:type="dxa"/>
          </w:tcPr>
          <w:p w14:paraId="22A66053" w14:textId="77777777" w:rsidR="00C40A65" w:rsidRDefault="00C40A65" w:rsidP="001B5598">
            <w:pPr>
              <w:pStyle w:val="TableParagraph"/>
              <w:ind w:left="93" w:right="70"/>
              <w:jc w:val="center"/>
              <w:rPr>
                <w:sz w:val="20"/>
              </w:rPr>
            </w:pPr>
            <w:r>
              <w:rPr>
                <w:sz w:val="20"/>
              </w:rPr>
              <w:t>38</w:t>
            </w:r>
          </w:p>
        </w:tc>
        <w:tc>
          <w:tcPr>
            <w:tcW w:w="569" w:type="dxa"/>
          </w:tcPr>
          <w:p w14:paraId="63CA15C2" w14:textId="77777777" w:rsidR="00C40A65" w:rsidRDefault="00C40A65" w:rsidP="001B5598">
            <w:pPr>
              <w:pStyle w:val="TableParagraph"/>
              <w:ind w:left="183"/>
              <w:rPr>
                <w:sz w:val="20"/>
              </w:rPr>
            </w:pPr>
            <w:r>
              <w:rPr>
                <w:sz w:val="20"/>
              </w:rPr>
              <w:t>36</w:t>
            </w:r>
          </w:p>
        </w:tc>
        <w:tc>
          <w:tcPr>
            <w:tcW w:w="566" w:type="dxa"/>
          </w:tcPr>
          <w:p w14:paraId="5AB1A9DD" w14:textId="77777777" w:rsidR="00C40A65" w:rsidRDefault="00C40A65" w:rsidP="001B5598">
            <w:pPr>
              <w:pStyle w:val="TableParagraph"/>
              <w:ind w:left="79" w:right="57"/>
              <w:jc w:val="center"/>
              <w:rPr>
                <w:sz w:val="20"/>
              </w:rPr>
            </w:pPr>
            <w:r>
              <w:rPr>
                <w:sz w:val="20"/>
              </w:rPr>
              <w:t>50</w:t>
            </w:r>
          </w:p>
        </w:tc>
        <w:tc>
          <w:tcPr>
            <w:tcW w:w="708" w:type="dxa"/>
          </w:tcPr>
          <w:p w14:paraId="6CCE5CD2" w14:textId="77777777" w:rsidR="00C40A65" w:rsidRDefault="00C40A65" w:rsidP="001B5598">
            <w:pPr>
              <w:pStyle w:val="TableParagraph"/>
              <w:ind w:left="128"/>
              <w:rPr>
                <w:sz w:val="20"/>
              </w:rPr>
            </w:pPr>
            <w:r>
              <w:rPr>
                <w:sz w:val="20"/>
              </w:rPr>
              <w:t>42.26</w:t>
            </w:r>
          </w:p>
        </w:tc>
        <w:tc>
          <w:tcPr>
            <w:tcW w:w="850" w:type="dxa"/>
          </w:tcPr>
          <w:p w14:paraId="43CBE6D0" w14:textId="77777777" w:rsidR="00C40A65" w:rsidRDefault="00C40A65" w:rsidP="001B5598">
            <w:pPr>
              <w:pStyle w:val="TableParagraph"/>
              <w:ind w:left="181" w:right="158"/>
              <w:jc w:val="center"/>
              <w:rPr>
                <w:sz w:val="20"/>
              </w:rPr>
            </w:pPr>
            <w:r>
              <w:rPr>
                <w:sz w:val="20"/>
              </w:rPr>
              <w:t>3.782</w:t>
            </w:r>
          </w:p>
        </w:tc>
      </w:tr>
      <w:tr w:rsidR="00C40A65" w14:paraId="3C27C5DB" w14:textId="77777777" w:rsidTr="001B5598">
        <w:trPr>
          <w:trHeight w:val="263"/>
        </w:trPr>
        <w:tc>
          <w:tcPr>
            <w:tcW w:w="2136" w:type="dxa"/>
          </w:tcPr>
          <w:p w14:paraId="632A8C27" w14:textId="77777777" w:rsidR="00C40A65" w:rsidRDefault="00C40A65" w:rsidP="001B5598">
            <w:pPr>
              <w:pStyle w:val="TableParagraph"/>
              <w:ind w:left="69"/>
              <w:rPr>
                <w:sz w:val="20"/>
              </w:rPr>
            </w:pPr>
            <w:r>
              <w:rPr>
                <w:sz w:val="20"/>
              </w:rPr>
              <w:t>Tindakan_Supervisi</w:t>
            </w:r>
          </w:p>
        </w:tc>
        <w:tc>
          <w:tcPr>
            <w:tcW w:w="424" w:type="dxa"/>
          </w:tcPr>
          <w:p w14:paraId="724FAC20" w14:textId="77777777" w:rsidR="00C40A65" w:rsidRDefault="00C40A65" w:rsidP="001B5598">
            <w:pPr>
              <w:pStyle w:val="TableParagraph"/>
              <w:ind w:left="93" w:right="70"/>
              <w:jc w:val="center"/>
              <w:rPr>
                <w:sz w:val="20"/>
              </w:rPr>
            </w:pPr>
            <w:r>
              <w:rPr>
                <w:sz w:val="20"/>
              </w:rPr>
              <w:t>38</w:t>
            </w:r>
          </w:p>
        </w:tc>
        <w:tc>
          <w:tcPr>
            <w:tcW w:w="569" w:type="dxa"/>
          </w:tcPr>
          <w:p w14:paraId="758B4ECB" w14:textId="77777777" w:rsidR="00C40A65" w:rsidRDefault="00C40A65" w:rsidP="001B5598">
            <w:pPr>
              <w:pStyle w:val="TableParagraph"/>
              <w:ind w:left="183"/>
              <w:rPr>
                <w:sz w:val="20"/>
              </w:rPr>
            </w:pPr>
            <w:r>
              <w:rPr>
                <w:sz w:val="20"/>
              </w:rPr>
              <w:t>32</w:t>
            </w:r>
          </w:p>
        </w:tc>
        <w:tc>
          <w:tcPr>
            <w:tcW w:w="566" w:type="dxa"/>
          </w:tcPr>
          <w:p w14:paraId="7C5AB5A8" w14:textId="77777777" w:rsidR="00C40A65" w:rsidRDefault="00C40A65" w:rsidP="001B5598">
            <w:pPr>
              <w:pStyle w:val="TableParagraph"/>
              <w:ind w:left="79" w:right="57"/>
              <w:jc w:val="center"/>
              <w:rPr>
                <w:sz w:val="20"/>
              </w:rPr>
            </w:pPr>
            <w:r>
              <w:rPr>
                <w:sz w:val="20"/>
              </w:rPr>
              <w:t>46</w:t>
            </w:r>
          </w:p>
        </w:tc>
        <w:tc>
          <w:tcPr>
            <w:tcW w:w="708" w:type="dxa"/>
          </w:tcPr>
          <w:p w14:paraId="3EF7EE3C" w14:textId="77777777" w:rsidR="00C40A65" w:rsidRDefault="00C40A65" w:rsidP="001B5598">
            <w:pPr>
              <w:pStyle w:val="TableParagraph"/>
              <w:ind w:left="128"/>
              <w:rPr>
                <w:sz w:val="20"/>
              </w:rPr>
            </w:pPr>
            <w:r>
              <w:rPr>
                <w:sz w:val="20"/>
              </w:rPr>
              <w:t>38.92</w:t>
            </w:r>
          </w:p>
        </w:tc>
        <w:tc>
          <w:tcPr>
            <w:tcW w:w="850" w:type="dxa"/>
          </w:tcPr>
          <w:p w14:paraId="487B458B" w14:textId="77777777" w:rsidR="00C40A65" w:rsidRDefault="00C40A65" w:rsidP="001B5598">
            <w:pPr>
              <w:pStyle w:val="TableParagraph"/>
              <w:ind w:left="181" w:right="158"/>
              <w:jc w:val="center"/>
              <w:rPr>
                <w:sz w:val="20"/>
              </w:rPr>
            </w:pPr>
            <w:r>
              <w:rPr>
                <w:sz w:val="20"/>
              </w:rPr>
              <w:t>2.999</w:t>
            </w:r>
          </w:p>
        </w:tc>
      </w:tr>
      <w:tr w:rsidR="00C40A65" w14:paraId="5D1F018D" w14:textId="77777777" w:rsidTr="001B5598">
        <w:trPr>
          <w:trHeight w:val="265"/>
        </w:trPr>
        <w:tc>
          <w:tcPr>
            <w:tcW w:w="2136" w:type="dxa"/>
          </w:tcPr>
          <w:p w14:paraId="5CDE2CA9" w14:textId="77777777" w:rsidR="00C40A65" w:rsidRDefault="00C40A65" w:rsidP="001B5598">
            <w:pPr>
              <w:pStyle w:val="TableParagraph"/>
              <w:ind w:left="69"/>
              <w:rPr>
                <w:sz w:val="20"/>
              </w:rPr>
            </w:pPr>
            <w:r>
              <w:rPr>
                <w:sz w:val="20"/>
              </w:rPr>
              <w:t>Pelatihan</w:t>
            </w:r>
          </w:p>
        </w:tc>
        <w:tc>
          <w:tcPr>
            <w:tcW w:w="424" w:type="dxa"/>
          </w:tcPr>
          <w:p w14:paraId="526441E2" w14:textId="77777777" w:rsidR="00C40A65" w:rsidRDefault="00C40A65" w:rsidP="001B5598">
            <w:pPr>
              <w:pStyle w:val="TableParagraph"/>
              <w:ind w:left="93" w:right="70"/>
              <w:jc w:val="center"/>
              <w:rPr>
                <w:sz w:val="20"/>
              </w:rPr>
            </w:pPr>
            <w:r>
              <w:rPr>
                <w:sz w:val="20"/>
              </w:rPr>
              <w:t>38</w:t>
            </w:r>
          </w:p>
        </w:tc>
        <w:tc>
          <w:tcPr>
            <w:tcW w:w="569" w:type="dxa"/>
          </w:tcPr>
          <w:p w14:paraId="6B4069EB" w14:textId="77777777" w:rsidR="00C40A65" w:rsidRDefault="00C40A65" w:rsidP="001B5598">
            <w:pPr>
              <w:pStyle w:val="TableParagraph"/>
              <w:ind w:left="183"/>
              <w:rPr>
                <w:sz w:val="20"/>
              </w:rPr>
            </w:pPr>
            <w:r>
              <w:rPr>
                <w:sz w:val="20"/>
              </w:rPr>
              <w:t>30</w:t>
            </w:r>
          </w:p>
        </w:tc>
        <w:tc>
          <w:tcPr>
            <w:tcW w:w="566" w:type="dxa"/>
          </w:tcPr>
          <w:p w14:paraId="212C4F03" w14:textId="77777777" w:rsidR="00C40A65" w:rsidRDefault="00C40A65" w:rsidP="001B5598">
            <w:pPr>
              <w:pStyle w:val="TableParagraph"/>
              <w:ind w:left="79" w:right="57"/>
              <w:jc w:val="center"/>
              <w:rPr>
                <w:sz w:val="20"/>
              </w:rPr>
            </w:pPr>
            <w:r>
              <w:rPr>
                <w:sz w:val="20"/>
              </w:rPr>
              <w:t>48</w:t>
            </w:r>
          </w:p>
        </w:tc>
        <w:tc>
          <w:tcPr>
            <w:tcW w:w="708" w:type="dxa"/>
          </w:tcPr>
          <w:p w14:paraId="3BDFFCA2" w14:textId="77777777" w:rsidR="00C40A65" w:rsidRDefault="00C40A65" w:rsidP="001B5598">
            <w:pPr>
              <w:pStyle w:val="TableParagraph"/>
              <w:ind w:left="128"/>
              <w:rPr>
                <w:sz w:val="20"/>
              </w:rPr>
            </w:pPr>
            <w:r>
              <w:rPr>
                <w:sz w:val="20"/>
              </w:rPr>
              <w:t>38.66</w:t>
            </w:r>
          </w:p>
        </w:tc>
        <w:tc>
          <w:tcPr>
            <w:tcW w:w="850" w:type="dxa"/>
          </w:tcPr>
          <w:p w14:paraId="1AEBA4D3" w14:textId="77777777" w:rsidR="00C40A65" w:rsidRDefault="00C40A65" w:rsidP="001B5598">
            <w:pPr>
              <w:pStyle w:val="TableParagraph"/>
              <w:ind w:left="181" w:right="158"/>
              <w:jc w:val="center"/>
              <w:rPr>
                <w:sz w:val="20"/>
              </w:rPr>
            </w:pPr>
            <w:r>
              <w:rPr>
                <w:sz w:val="20"/>
              </w:rPr>
              <w:t>3.968</w:t>
            </w:r>
          </w:p>
        </w:tc>
      </w:tr>
      <w:tr w:rsidR="00C40A65" w14:paraId="306676F8" w14:textId="77777777" w:rsidTr="001B5598">
        <w:trPr>
          <w:trHeight w:val="263"/>
        </w:trPr>
        <w:tc>
          <w:tcPr>
            <w:tcW w:w="2136" w:type="dxa"/>
          </w:tcPr>
          <w:p w14:paraId="098B6255" w14:textId="77777777" w:rsidR="00C40A65" w:rsidRDefault="00C40A65" w:rsidP="001B5598">
            <w:pPr>
              <w:pStyle w:val="TableParagraph"/>
              <w:ind w:left="69"/>
              <w:rPr>
                <w:sz w:val="20"/>
              </w:rPr>
            </w:pPr>
            <w:r>
              <w:rPr>
                <w:sz w:val="20"/>
              </w:rPr>
              <w:t>Kinerja_Auditor_Junior</w:t>
            </w:r>
          </w:p>
        </w:tc>
        <w:tc>
          <w:tcPr>
            <w:tcW w:w="424" w:type="dxa"/>
          </w:tcPr>
          <w:p w14:paraId="4347FDC4" w14:textId="77777777" w:rsidR="00C40A65" w:rsidRDefault="00C40A65" w:rsidP="001B5598">
            <w:pPr>
              <w:pStyle w:val="TableParagraph"/>
              <w:ind w:left="93" w:right="70"/>
              <w:jc w:val="center"/>
              <w:rPr>
                <w:sz w:val="20"/>
              </w:rPr>
            </w:pPr>
            <w:r>
              <w:rPr>
                <w:sz w:val="20"/>
              </w:rPr>
              <w:t>38</w:t>
            </w:r>
          </w:p>
        </w:tc>
        <w:tc>
          <w:tcPr>
            <w:tcW w:w="569" w:type="dxa"/>
          </w:tcPr>
          <w:p w14:paraId="3BDF2C75" w14:textId="77777777" w:rsidR="00C40A65" w:rsidRDefault="00C40A65" w:rsidP="001B5598">
            <w:pPr>
              <w:pStyle w:val="TableParagraph"/>
              <w:ind w:left="183"/>
              <w:rPr>
                <w:sz w:val="20"/>
              </w:rPr>
            </w:pPr>
            <w:r>
              <w:rPr>
                <w:sz w:val="20"/>
              </w:rPr>
              <w:t>33</w:t>
            </w:r>
          </w:p>
        </w:tc>
        <w:tc>
          <w:tcPr>
            <w:tcW w:w="566" w:type="dxa"/>
          </w:tcPr>
          <w:p w14:paraId="7BB95FB0" w14:textId="77777777" w:rsidR="00C40A65" w:rsidRDefault="00C40A65" w:rsidP="001B5598">
            <w:pPr>
              <w:pStyle w:val="TableParagraph"/>
              <w:ind w:left="79" w:right="57"/>
              <w:jc w:val="center"/>
              <w:rPr>
                <w:sz w:val="20"/>
              </w:rPr>
            </w:pPr>
            <w:r>
              <w:rPr>
                <w:sz w:val="20"/>
              </w:rPr>
              <w:t>50</w:t>
            </w:r>
          </w:p>
        </w:tc>
        <w:tc>
          <w:tcPr>
            <w:tcW w:w="708" w:type="dxa"/>
          </w:tcPr>
          <w:p w14:paraId="1198E551" w14:textId="77777777" w:rsidR="00C40A65" w:rsidRDefault="00C40A65" w:rsidP="001B5598">
            <w:pPr>
              <w:pStyle w:val="TableParagraph"/>
              <w:ind w:left="128"/>
              <w:rPr>
                <w:sz w:val="20"/>
              </w:rPr>
            </w:pPr>
            <w:r>
              <w:rPr>
                <w:sz w:val="20"/>
              </w:rPr>
              <w:t>40.21</w:t>
            </w:r>
          </w:p>
        </w:tc>
        <w:tc>
          <w:tcPr>
            <w:tcW w:w="850" w:type="dxa"/>
          </w:tcPr>
          <w:p w14:paraId="31A20A00" w14:textId="77777777" w:rsidR="00C40A65" w:rsidRDefault="00C40A65" w:rsidP="001B5598">
            <w:pPr>
              <w:pStyle w:val="TableParagraph"/>
              <w:ind w:left="181" w:right="158"/>
              <w:jc w:val="center"/>
              <w:rPr>
                <w:sz w:val="20"/>
              </w:rPr>
            </w:pPr>
            <w:r>
              <w:rPr>
                <w:sz w:val="20"/>
              </w:rPr>
              <w:t>4.154</w:t>
            </w:r>
          </w:p>
        </w:tc>
      </w:tr>
    </w:tbl>
    <w:p w14:paraId="65EEE12E" w14:textId="77777777" w:rsidR="00C40A65" w:rsidRDefault="00C40A65" w:rsidP="00C40A65">
      <w:pPr>
        <w:pStyle w:val="BodyText"/>
        <w:jc w:val="both"/>
      </w:pPr>
    </w:p>
    <w:p w14:paraId="1841A0CB" w14:textId="77777777" w:rsidR="00C40A65" w:rsidRDefault="00C40A65" w:rsidP="00C40A65">
      <w:pPr>
        <w:pStyle w:val="BodyText"/>
        <w:jc w:val="both"/>
      </w:pPr>
    </w:p>
    <w:p w14:paraId="28C2419F" w14:textId="77777777" w:rsidR="00C40A65" w:rsidRDefault="00C40A65" w:rsidP="00C40A65">
      <w:pPr>
        <w:pStyle w:val="BodyText"/>
        <w:jc w:val="both"/>
      </w:pPr>
    </w:p>
    <w:p w14:paraId="3F5C3B3E" w14:textId="77777777" w:rsidR="00C40A65" w:rsidRDefault="00C40A65" w:rsidP="00C40A65">
      <w:pPr>
        <w:pStyle w:val="BodyText"/>
        <w:jc w:val="both"/>
      </w:pPr>
    </w:p>
    <w:p w14:paraId="50598221" w14:textId="77777777" w:rsidR="00C40A65" w:rsidRDefault="00C40A65" w:rsidP="00C40A65">
      <w:pPr>
        <w:pStyle w:val="BodyText"/>
        <w:jc w:val="both"/>
      </w:pPr>
    </w:p>
    <w:p w14:paraId="14E20634" w14:textId="77777777" w:rsidR="00E03E2A" w:rsidRDefault="00E03E2A" w:rsidP="00C40A65">
      <w:pPr>
        <w:pStyle w:val="BodyText"/>
        <w:jc w:val="both"/>
      </w:pPr>
    </w:p>
    <w:p w14:paraId="3E14C70B" w14:textId="77777777" w:rsidR="00E03E2A" w:rsidRDefault="00E03E2A" w:rsidP="00C40A65">
      <w:pPr>
        <w:pStyle w:val="BodyText"/>
        <w:jc w:val="both"/>
      </w:pPr>
    </w:p>
    <w:p w14:paraId="3E24B5C8" w14:textId="77777777" w:rsidR="00E03E2A" w:rsidRDefault="00E03E2A" w:rsidP="00C40A65">
      <w:pPr>
        <w:pStyle w:val="BodyText"/>
        <w:jc w:val="both"/>
      </w:pPr>
    </w:p>
    <w:p w14:paraId="215E89C2" w14:textId="77777777" w:rsidR="00E03E2A" w:rsidRDefault="00E03E2A" w:rsidP="00C40A65">
      <w:pPr>
        <w:pStyle w:val="BodyText"/>
        <w:jc w:val="both"/>
      </w:pPr>
    </w:p>
    <w:p w14:paraId="42D7919F" w14:textId="77777777" w:rsidR="00E03E2A" w:rsidRDefault="00E03E2A" w:rsidP="00C40A65">
      <w:pPr>
        <w:pStyle w:val="BodyText"/>
        <w:jc w:val="both"/>
      </w:pPr>
    </w:p>
    <w:p w14:paraId="62FA58CD" w14:textId="77777777" w:rsidR="00C40A65" w:rsidRPr="008C1D5E" w:rsidRDefault="00C40A65" w:rsidP="00C40A65">
      <w:pPr>
        <w:pStyle w:val="BodyText"/>
        <w:jc w:val="both"/>
      </w:pPr>
      <w:r w:rsidRPr="008C1D5E">
        <w:t>The results of descriptive statistical analysis of each variable are</w:t>
      </w:r>
      <w:r w:rsidRPr="008C1D5E">
        <w:rPr>
          <w:lang w:val="en-US"/>
        </w:rPr>
        <w:t xml:space="preserve"> </w:t>
      </w:r>
      <w:r>
        <w:t>as follows</w:t>
      </w:r>
      <w:r w:rsidRPr="008C1D5E">
        <w:t>:</w:t>
      </w:r>
    </w:p>
    <w:p w14:paraId="7C61252E" w14:textId="77777777" w:rsidR="000C43E5" w:rsidRPr="00F013B1" w:rsidRDefault="000C43E5" w:rsidP="000C43E5">
      <w:pPr>
        <w:shd w:val="clear" w:color="auto" w:fill="FFFFFF"/>
        <w:ind w:firstLine="426"/>
        <w:jc w:val="both"/>
      </w:pPr>
      <w:r>
        <w:t>The following is a summary of descriptive statistics of research data</w:t>
      </w:r>
      <w:r w:rsidRPr="00F013B1">
        <w:t>.</w:t>
      </w:r>
    </w:p>
    <w:p w14:paraId="35DC619A" w14:textId="77777777" w:rsidR="000C43E5" w:rsidRPr="00ED6282" w:rsidRDefault="000C43E5" w:rsidP="000C43E5">
      <w:pPr>
        <w:pStyle w:val="ListParagraph"/>
        <w:shd w:val="clear" w:color="auto" w:fill="FFFFFF"/>
        <w:spacing w:after="0" w:line="240" w:lineRule="auto"/>
        <w:ind w:left="426"/>
        <w:rPr>
          <w:rFonts w:ascii="Times New Roman" w:hAnsi="Times New Roman" w:cs="Times New Roman"/>
          <w:sz w:val="18"/>
          <w:szCs w:val="18"/>
        </w:rPr>
      </w:pPr>
    </w:p>
    <w:tbl>
      <w:tblPr>
        <w:tblW w:w="4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426"/>
        <w:gridCol w:w="851"/>
        <w:gridCol w:w="850"/>
        <w:gridCol w:w="992"/>
        <w:gridCol w:w="992"/>
      </w:tblGrid>
      <w:tr w:rsidR="000C43E5" w:rsidRPr="00ED6282" w14:paraId="29C32A6B" w14:textId="77777777" w:rsidTr="000C43E5">
        <w:trPr>
          <w:cantSplit/>
        </w:trPr>
        <w:tc>
          <w:tcPr>
            <w:tcW w:w="4678" w:type="dxa"/>
            <w:gridSpan w:val="6"/>
            <w:tcBorders>
              <w:top w:val="nil"/>
              <w:left w:val="nil"/>
              <w:bottom w:val="nil"/>
              <w:right w:val="nil"/>
              <w:tl2br w:val="nil"/>
              <w:tr2bl w:val="nil"/>
            </w:tcBorders>
            <w:shd w:val="clear" w:color="auto" w:fill="FFFFFF"/>
            <w:vAlign w:val="center"/>
          </w:tcPr>
          <w:p w14:paraId="62992F94" w14:textId="77777777" w:rsidR="000C43E5" w:rsidRPr="00ED6282" w:rsidRDefault="000C43E5" w:rsidP="000C43E5">
            <w:pPr>
              <w:ind w:left="60" w:right="60"/>
              <w:contextualSpacing/>
              <w:jc w:val="center"/>
              <w:rPr>
                <w:color w:val="010205"/>
                <w:sz w:val="18"/>
                <w:szCs w:val="18"/>
              </w:rPr>
            </w:pPr>
            <w:r w:rsidRPr="00ED6282">
              <w:rPr>
                <w:b/>
                <w:color w:val="010205"/>
                <w:sz w:val="18"/>
                <w:szCs w:val="18"/>
              </w:rPr>
              <w:t>Descriptive Statistics</w:t>
            </w:r>
          </w:p>
        </w:tc>
      </w:tr>
      <w:tr w:rsidR="000C43E5" w:rsidRPr="00ED6282" w14:paraId="6C257223" w14:textId="77777777" w:rsidTr="000C43E5">
        <w:trPr>
          <w:cantSplit/>
        </w:trPr>
        <w:tc>
          <w:tcPr>
            <w:tcW w:w="567" w:type="dxa"/>
            <w:tcBorders>
              <w:top w:val="nil"/>
              <w:left w:val="nil"/>
              <w:bottom w:val="single" w:sz="8" w:space="0" w:color="152935"/>
              <w:right w:val="nil"/>
              <w:tl2br w:val="nil"/>
              <w:tr2bl w:val="nil"/>
            </w:tcBorders>
            <w:shd w:val="clear" w:color="auto" w:fill="FFFFFF"/>
            <w:vAlign w:val="bottom"/>
          </w:tcPr>
          <w:p w14:paraId="3F3F02B1" w14:textId="77777777" w:rsidR="000C43E5" w:rsidRPr="00ED6282" w:rsidRDefault="000C43E5" w:rsidP="000C43E5">
            <w:pPr>
              <w:contextualSpacing/>
              <w:rPr>
                <w:sz w:val="18"/>
                <w:szCs w:val="18"/>
              </w:rPr>
            </w:pPr>
          </w:p>
        </w:tc>
        <w:tc>
          <w:tcPr>
            <w:tcW w:w="426" w:type="dxa"/>
            <w:tcBorders>
              <w:top w:val="nil"/>
              <w:left w:val="nil"/>
              <w:bottom w:val="single" w:sz="8" w:space="0" w:color="152935"/>
              <w:right w:val="single" w:sz="8" w:space="0" w:color="E0E0E0"/>
              <w:tl2br w:val="nil"/>
              <w:tr2bl w:val="nil"/>
            </w:tcBorders>
            <w:shd w:val="clear" w:color="auto" w:fill="FFFFFF"/>
            <w:vAlign w:val="bottom"/>
          </w:tcPr>
          <w:p w14:paraId="6F572680" w14:textId="77777777" w:rsidR="000C43E5" w:rsidRPr="00ED6282" w:rsidRDefault="000C43E5" w:rsidP="000C43E5">
            <w:pPr>
              <w:ind w:left="60" w:right="60"/>
              <w:contextualSpacing/>
              <w:jc w:val="center"/>
              <w:rPr>
                <w:color w:val="264A60"/>
                <w:sz w:val="18"/>
                <w:szCs w:val="18"/>
              </w:rPr>
            </w:pPr>
            <w:r w:rsidRPr="00ED6282">
              <w:rPr>
                <w:color w:val="264A60"/>
                <w:sz w:val="18"/>
                <w:szCs w:val="18"/>
              </w:rPr>
              <w:t>N</w:t>
            </w:r>
          </w:p>
        </w:tc>
        <w:tc>
          <w:tcPr>
            <w:tcW w:w="851"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D6CF368" w14:textId="77777777" w:rsidR="000C43E5" w:rsidRPr="00ED6282" w:rsidRDefault="000C43E5" w:rsidP="000C43E5">
            <w:pPr>
              <w:ind w:left="60" w:right="60"/>
              <w:contextualSpacing/>
              <w:jc w:val="center"/>
              <w:rPr>
                <w:color w:val="264A60"/>
                <w:sz w:val="18"/>
                <w:szCs w:val="18"/>
              </w:rPr>
            </w:pPr>
            <w:r w:rsidRPr="00ED6282">
              <w:rPr>
                <w:color w:val="264A60"/>
                <w:sz w:val="18"/>
                <w:szCs w:val="18"/>
              </w:rPr>
              <w:t>Min</w:t>
            </w:r>
          </w:p>
        </w:tc>
        <w:tc>
          <w:tcPr>
            <w:tcW w:w="850"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7C2E72C" w14:textId="77777777" w:rsidR="000C43E5" w:rsidRPr="00ED6282" w:rsidRDefault="000C43E5" w:rsidP="000C43E5">
            <w:pPr>
              <w:ind w:left="60" w:right="60"/>
              <w:contextualSpacing/>
              <w:jc w:val="center"/>
              <w:rPr>
                <w:color w:val="264A60"/>
                <w:sz w:val="18"/>
                <w:szCs w:val="18"/>
              </w:rPr>
            </w:pPr>
            <w:r w:rsidRPr="00ED6282">
              <w:rPr>
                <w:color w:val="264A60"/>
                <w:sz w:val="18"/>
                <w:szCs w:val="18"/>
              </w:rPr>
              <w:t>Max</w:t>
            </w:r>
          </w:p>
        </w:tc>
        <w:tc>
          <w:tcPr>
            <w:tcW w:w="992"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B2B6FB4" w14:textId="77777777" w:rsidR="000C43E5" w:rsidRPr="00ED6282" w:rsidRDefault="000C43E5" w:rsidP="000C43E5">
            <w:pPr>
              <w:ind w:left="60" w:right="60"/>
              <w:contextualSpacing/>
              <w:jc w:val="center"/>
              <w:rPr>
                <w:color w:val="264A60"/>
                <w:sz w:val="18"/>
                <w:szCs w:val="18"/>
              </w:rPr>
            </w:pPr>
            <w:r w:rsidRPr="00ED6282">
              <w:rPr>
                <w:color w:val="264A60"/>
                <w:sz w:val="18"/>
                <w:szCs w:val="18"/>
              </w:rPr>
              <w:t>Mean</w:t>
            </w:r>
          </w:p>
        </w:tc>
        <w:tc>
          <w:tcPr>
            <w:tcW w:w="992" w:type="dxa"/>
            <w:tcBorders>
              <w:top w:val="nil"/>
              <w:left w:val="single" w:sz="8" w:space="0" w:color="E0E0E0"/>
              <w:bottom w:val="single" w:sz="8" w:space="0" w:color="152935"/>
              <w:right w:val="nil"/>
              <w:tl2br w:val="nil"/>
              <w:tr2bl w:val="nil"/>
            </w:tcBorders>
            <w:shd w:val="clear" w:color="auto" w:fill="FFFFFF"/>
            <w:vAlign w:val="bottom"/>
          </w:tcPr>
          <w:p w14:paraId="7C693BBB" w14:textId="77777777" w:rsidR="000C43E5" w:rsidRPr="00ED6282" w:rsidRDefault="000C43E5" w:rsidP="000C43E5">
            <w:pPr>
              <w:ind w:left="60" w:right="60"/>
              <w:contextualSpacing/>
              <w:jc w:val="center"/>
              <w:rPr>
                <w:color w:val="264A60"/>
                <w:sz w:val="18"/>
                <w:szCs w:val="18"/>
              </w:rPr>
            </w:pPr>
            <w:r w:rsidRPr="00ED6282">
              <w:rPr>
                <w:color w:val="264A60"/>
                <w:sz w:val="18"/>
                <w:szCs w:val="18"/>
              </w:rPr>
              <w:t>Std. Deviation</w:t>
            </w:r>
          </w:p>
        </w:tc>
      </w:tr>
      <w:tr w:rsidR="000C43E5" w:rsidRPr="00ED6282" w14:paraId="04516BC9" w14:textId="77777777" w:rsidTr="000C43E5">
        <w:trPr>
          <w:cantSplit/>
        </w:trPr>
        <w:tc>
          <w:tcPr>
            <w:tcW w:w="567" w:type="dxa"/>
            <w:tcBorders>
              <w:top w:val="single" w:sz="8" w:space="0" w:color="152935"/>
              <w:left w:val="nil"/>
              <w:bottom w:val="single" w:sz="8" w:space="0" w:color="AEAEAE"/>
              <w:right w:val="nil"/>
              <w:tl2br w:val="nil"/>
              <w:tr2bl w:val="nil"/>
            </w:tcBorders>
            <w:shd w:val="clear" w:color="auto" w:fill="E0E0E0"/>
          </w:tcPr>
          <w:p w14:paraId="739896A2" w14:textId="77777777" w:rsidR="000C43E5" w:rsidRPr="00ED6282" w:rsidRDefault="000C43E5" w:rsidP="000C43E5">
            <w:pPr>
              <w:ind w:left="60" w:right="60"/>
              <w:contextualSpacing/>
              <w:rPr>
                <w:color w:val="264A60"/>
                <w:sz w:val="18"/>
                <w:szCs w:val="18"/>
              </w:rPr>
            </w:pPr>
            <w:r w:rsidRPr="00ED6282">
              <w:rPr>
                <w:color w:val="264A60"/>
                <w:sz w:val="18"/>
                <w:szCs w:val="18"/>
              </w:rPr>
              <w:t>ETR</w:t>
            </w:r>
          </w:p>
        </w:tc>
        <w:tc>
          <w:tcPr>
            <w:tcW w:w="426" w:type="dxa"/>
            <w:tcBorders>
              <w:top w:val="single" w:sz="8" w:space="0" w:color="152935"/>
              <w:left w:val="nil"/>
              <w:bottom w:val="single" w:sz="8" w:space="0" w:color="AEAEAE"/>
              <w:right w:val="single" w:sz="8" w:space="0" w:color="E0E0E0"/>
              <w:tl2br w:val="nil"/>
              <w:tr2bl w:val="nil"/>
            </w:tcBorders>
            <w:shd w:val="clear" w:color="auto" w:fill="FFFFFF"/>
          </w:tcPr>
          <w:p w14:paraId="3FD7B0AC"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166</w:t>
            </w:r>
          </w:p>
        </w:tc>
        <w:tc>
          <w:tcPr>
            <w:tcW w:w="851"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0A19F02" w14:textId="77777777" w:rsidR="000C43E5" w:rsidRPr="00ED6282" w:rsidRDefault="000C43E5" w:rsidP="000C43E5">
            <w:pPr>
              <w:ind w:left="60" w:right="60"/>
              <w:contextualSpacing/>
              <w:jc w:val="right"/>
              <w:rPr>
                <w:color w:val="010205"/>
                <w:sz w:val="18"/>
                <w:szCs w:val="18"/>
              </w:rPr>
            </w:pPr>
            <w:r w:rsidRPr="00ED6282">
              <w:rPr>
                <w:color w:val="010205"/>
                <w:sz w:val="18"/>
                <w:szCs w:val="18"/>
              </w:rPr>
              <w:t>-6.3521</w:t>
            </w:r>
          </w:p>
        </w:tc>
        <w:tc>
          <w:tcPr>
            <w:tcW w:w="850"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35DF879" w14:textId="77777777" w:rsidR="000C43E5" w:rsidRPr="00ED6282" w:rsidRDefault="000C43E5" w:rsidP="000C43E5">
            <w:pPr>
              <w:ind w:left="60" w:right="60"/>
              <w:contextualSpacing/>
              <w:jc w:val="right"/>
              <w:rPr>
                <w:color w:val="010205"/>
                <w:sz w:val="18"/>
                <w:szCs w:val="18"/>
              </w:rPr>
            </w:pPr>
            <w:r w:rsidRPr="00ED6282">
              <w:rPr>
                <w:color w:val="010205"/>
                <w:sz w:val="18"/>
                <w:szCs w:val="18"/>
              </w:rPr>
              <w:t>2.7817</w:t>
            </w:r>
          </w:p>
        </w:tc>
        <w:tc>
          <w:tcPr>
            <w:tcW w:w="992"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712379D" w14:textId="77777777" w:rsidR="000C43E5" w:rsidRPr="00ED6282" w:rsidRDefault="000C43E5" w:rsidP="000C43E5">
            <w:pPr>
              <w:ind w:left="60" w:right="60"/>
              <w:contextualSpacing/>
              <w:jc w:val="right"/>
              <w:rPr>
                <w:color w:val="010205"/>
                <w:sz w:val="18"/>
                <w:szCs w:val="18"/>
              </w:rPr>
            </w:pPr>
            <w:r w:rsidRPr="00ED6282">
              <w:rPr>
                <w:color w:val="010205"/>
                <w:sz w:val="18"/>
                <w:szCs w:val="18"/>
              </w:rPr>
              <w:t>-.039569</w:t>
            </w:r>
          </w:p>
        </w:tc>
        <w:tc>
          <w:tcPr>
            <w:tcW w:w="992" w:type="dxa"/>
            <w:tcBorders>
              <w:top w:val="single" w:sz="8" w:space="0" w:color="152935"/>
              <w:left w:val="single" w:sz="8" w:space="0" w:color="E0E0E0"/>
              <w:bottom w:val="single" w:sz="8" w:space="0" w:color="AEAEAE"/>
              <w:right w:val="nil"/>
              <w:tl2br w:val="nil"/>
              <w:tr2bl w:val="nil"/>
            </w:tcBorders>
            <w:shd w:val="clear" w:color="auto" w:fill="FFFFFF"/>
          </w:tcPr>
          <w:p w14:paraId="00EC4CF8" w14:textId="77777777" w:rsidR="000C43E5" w:rsidRPr="00ED6282" w:rsidRDefault="000C43E5" w:rsidP="000C43E5">
            <w:pPr>
              <w:ind w:left="60" w:right="60"/>
              <w:contextualSpacing/>
              <w:jc w:val="right"/>
              <w:rPr>
                <w:color w:val="010205"/>
                <w:sz w:val="18"/>
                <w:szCs w:val="18"/>
              </w:rPr>
            </w:pPr>
            <w:r w:rsidRPr="00ED6282">
              <w:rPr>
                <w:color w:val="010205"/>
                <w:sz w:val="18"/>
                <w:szCs w:val="18"/>
              </w:rPr>
              <w:t>.6771822</w:t>
            </w:r>
          </w:p>
        </w:tc>
      </w:tr>
      <w:tr w:rsidR="000C43E5" w:rsidRPr="00ED6282" w14:paraId="17BBE7CB" w14:textId="77777777" w:rsidTr="000C43E5">
        <w:trPr>
          <w:cantSplit/>
        </w:trPr>
        <w:tc>
          <w:tcPr>
            <w:tcW w:w="567" w:type="dxa"/>
            <w:tcBorders>
              <w:top w:val="single" w:sz="8" w:space="0" w:color="AEAEAE"/>
              <w:left w:val="nil"/>
              <w:bottom w:val="single" w:sz="8" w:space="0" w:color="AEAEAE"/>
              <w:right w:val="nil"/>
              <w:tl2br w:val="nil"/>
              <w:tr2bl w:val="nil"/>
            </w:tcBorders>
            <w:shd w:val="clear" w:color="auto" w:fill="E0E0E0"/>
          </w:tcPr>
          <w:p w14:paraId="42A0BF82" w14:textId="77777777" w:rsidR="000C43E5" w:rsidRPr="00ED6282" w:rsidRDefault="000C43E5" w:rsidP="000C43E5">
            <w:pPr>
              <w:ind w:left="60" w:right="60"/>
              <w:contextualSpacing/>
              <w:rPr>
                <w:color w:val="264A60"/>
                <w:sz w:val="18"/>
                <w:szCs w:val="18"/>
              </w:rPr>
            </w:pPr>
            <w:r w:rsidRPr="00ED6282">
              <w:rPr>
                <w:color w:val="264A60"/>
                <w:sz w:val="18"/>
                <w:szCs w:val="18"/>
              </w:rPr>
              <w:t>ROA</w:t>
            </w:r>
          </w:p>
        </w:tc>
        <w:tc>
          <w:tcPr>
            <w:tcW w:w="426" w:type="dxa"/>
            <w:tcBorders>
              <w:top w:val="single" w:sz="8" w:space="0" w:color="AEAEAE"/>
              <w:left w:val="nil"/>
              <w:bottom w:val="single" w:sz="8" w:space="0" w:color="AEAEAE"/>
              <w:right w:val="single" w:sz="8" w:space="0" w:color="E0E0E0"/>
              <w:tl2br w:val="nil"/>
              <w:tr2bl w:val="nil"/>
            </w:tcBorders>
            <w:shd w:val="clear" w:color="auto" w:fill="FFFFFF"/>
          </w:tcPr>
          <w:p w14:paraId="2BDFBA1F"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166</w:t>
            </w:r>
          </w:p>
        </w:tc>
        <w:tc>
          <w:tcPr>
            <w:tcW w:w="851"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0F41453" w14:textId="77777777" w:rsidR="000C43E5" w:rsidRPr="00ED6282" w:rsidRDefault="000C43E5" w:rsidP="000C43E5">
            <w:pPr>
              <w:ind w:left="60" w:right="60"/>
              <w:contextualSpacing/>
              <w:jc w:val="right"/>
              <w:rPr>
                <w:color w:val="010205"/>
                <w:sz w:val="18"/>
                <w:szCs w:val="18"/>
              </w:rPr>
            </w:pPr>
            <w:r w:rsidRPr="00ED6282">
              <w:rPr>
                <w:color w:val="010205"/>
                <w:sz w:val="18"/>
                <w:szCs w:val="18"/>
              </w:rPr>
              <w:t>-.9377</w:t>
            </w:r>
          </w:p>
        </w:tc>
        <w:tc>
          <w:tcPr>
            <w:tcW w:w="85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EBC7E8E"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.1997</w:t>
            </w:r>
          </w:p>
        </w:tc>
        <w:tc>
          <w:tcPr>
            <w:tcW w:w="99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04FF596" w14:textId="77777777" w:rsidR="000C43E5" w:rsidRPr="00ED6282" w:rsidRDefault="000C43E5" w:rsidP="000C43E5">
            <w:pPr>
              <w:ind w:left="60" w:right="60"/>
              <w:contextualSpacing/>
              <w:jc w:val="right"/>
              <w:rPr>
                <w:color w:val="010205"/>
                <w:sz w:val="18"/>
                <w:szCs w:val="18"/>
              </w:rPr>
            </w:pPr>
            <w:r w:rsidRPr="00ED6282">
              <w:rPr>
                <w:color w:val="010205"/>
                <w:sz w:val="18"/>
                <w:szCs w:val="18"/>
              </w:rPr>
              <w:t>-.024391</w:t>
            </w:r>
          </w:p>
        </w:tc>
        <w:tc>
          <w:tcPr>
            <w:tcW w:w="992" w:type="dxa"/>
            <w:tcBorders>
              <w:top w:val="single" w:sz="8" w:space="0" w:color="AEAEAE"/>
              <w:left w:val="single" w:sz="8" w:space="0" w:color="E0E0E0"/>
              <w:bottom w:val="single" w:sz="8" w:space="0" w:color="AEAEAE"/>
              <w:right w:val="nil"/>
              <w:tl2br w:val="nil"/>
              <w:tr2bl w:val="nil"/>
            </w:tcBorders>
            <w:shd w:val="clear" w:color="auto" w:fill="FFFFFF"/>
          </w:tcPr>
          <w:p w14:paraId="268D59D4"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.1350154</w:t>
            </w:r>
          </w:p>
        </w:tc>
      </w:tr>
      <w:tr w:rsidR="000C43E5" w:rsidRPr="00ED6282" w14:paraId="184002C1" w14:textId="77777777" w:rsidTr="000C43E5">
        <w:trPr>
          <w:cantSplit/>
        </w:trPr>
        <w:tc>
          <w:tcPr>
            <w:tcW w:w="567" w:type="dxa"/>
            <w:tcBorders>
              <w:top w:val="single" w:sz="8" w:space="0" w:color="AEAEAE"/>
              <w:left w:val="nil"/>
              <w:bottom w:val="single" w:sz="8" w:space="0" w:color="AEAEAE"/>
              <w:right w:val="nil"/>
              <w:tl2br w:val="nil"/>
              <w:tr2bl w:val="nil"/>
            </w:tcBorders>
            <w:shd w:val="clear" w:color="auto" w:fill="E0E0E0"/>
          </w:tcPr>
          <w:p w14:paraId="1EB81F0E" w14:textId="77777777" w:rsidR="000C43E5" w:rsidRPr="00ED6282" w:rsidRDefault="000C43E5" w:rsidP="000C43E5">
            <w:pPr>
              <w:ind w:left="60" w:right="60"/>
              <w:contextualSpacing/>
              <w:rPr>
                <w:color w:val="264A60"/>
                <w:sz w:val="18"/>
                <w:szCs w:val="18"/>
              </w:rPr>
            </w:pPr>
            <w:r w:rsidRPr="00ED6282">
              <w:rPr>
                <w:color w:val="264A60"/>
                <w:sz w:val="18"/>
                <w:szCs w:val="18"/>
              </w:rPr>
              <w:t>CR</w:t>
            </w:r>
          </w:p>
        </w:tc>
        <w:tc>
          <w:tcPr>
            <w:tcW w:w="426" w:type="dxa"/>
            <w:tcBorders>
              <w:top w:val="single" w:sz="8" w:space="0" w:color="AEAEAE"/>
              <w:left w:val="nil"/>
              <w:bottom w:val="single" w:sz="8" w:space="0" w:color="AEAEAE"/>
              <w:right w:val="single" w:sz="8" w:space="0" w:color="E0E0E0"/>
              <w:tl2br w:val="nil"/>
              <w:tr2bl w:val="nil"/>
            </w:tcBorders>
            <w:shd w:val="clear" w:color="auto" w:fill="FFFFFF"/>
          </w:tcPr>
          <w:p w14:paraId="188C1A6E"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166</w:t>
            </w:r>
          </w:p>
        </w:tc>
        <w:tc>
          <w:tcPr>
            <w:tcW w:w="851"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1DEA63B" w14:textId="77777777" w:rsidR="000C43E5" w:rsidRPr="00ED6282" w:rsidRDefault="000C43E5" w:rsidP="000C43E5">
            <w:pPr>
              <w:ind w:left="60" w:right="60"/>
              <w:contextualSpacing/>
              <w:jc w:val="right"/>
              <w:rPr>
                <w:color w:val="010205"/>
                <w:sz w:val="18"/>
                <w:szCs w:val="18"/>
              </w:rPr>
            </w:pPr>
            <w:r w:rsidRPr="00ED6282">
              <w:rPr>
                <w:color w:val="010205"/>
                <w:sz w:val="18"/>
                <w:szCs w:val="18"/>
              </w:rPr>
              <w:t>.0024</w:t>
            </w:r>
          </w:p>
        </w:tc>
        <w:tc>
          <w:tcPr>
            <w:tcW w:w="85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59C0F15"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10.5263</w:t>
            </w:r>
          </w:p>
        </w:tc>
        <w:tc>
          <w:tcPr>
            <w:tcW w:w="99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EFB76D1" w14:textId="77777777" w:rsidR="000C43E5" w:rsidRPr="00ED6282" w:rsidRDefault="000C43E5" w:rsidP="000C43E5">
            <w:pPr>
              <w:ind w:left="60" w:right="60"/>
              <w:contextualSpacing/>
              <w:jc w:val="right"/>
              <w:rPr>
                <w:color w:val="010205"/>
                <w:sz w:val="18"/>
                <w:szCs w:val="18"/>
              </w:rPr>
            </w:pPr>
            <w:r w:rsidRPr="00ED6282">
              <w:rPr>
                <w:color w:val="010205"/>
                <w:sz w:val="18"/>
                <w:szCs w:val="18"/>
              </w:rPr>
              <w:t>2.092743</w:t>
            </w:r>
          </w:p>
        </w:tc>
        <w:tc>
          <w:tcPr>
            <w:tcW w:w="992" w:type="dxa"/>
            <w:tcBorders>
              <w:top w:val="single" w:sz="8" w:space="0" w:color="AEAEAE"/>
              <w:left w:val="single" w:sz="8" w:space="0" w:color="E0E0E0"/>
              <w:bottom w:val="single" w:sz="8" w:space="0" w:color="AEAEAE"/>
              <w:right w:val="nil"/>
              <w:tl2br w:val="nil"/>
              <w:tr2bl w:val="nil"/>
            </w:tcBorders>
            <w:shd w:val="clear" w:color="auto" w:fill="FFFFFF"/>
          </w:tcPr>
          <w:p w14:paraId="0009EFC5"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1.8665217</w:t>
            </w:r>
          </w:p>
        </w:tc>
      </w:tr>
      <w:tr w:rsidR="000C43E5" w:rsidRPr="00ED6282" w14:paraId="144208E8" w14:textId="77777777" w:rsidTr="000C43E5">
        <w:trPr>
          <w:cantSplit/>
        </w:trPr>
        <w:tc>
          <w:tcPr>
            <w:tcW w:w="567" w:type="dxa"/>
            <w:tcBorders>
              <w:top w:val="single" w:sz="8" w:space="0" w:color="AEAEAE"/>
              <w:left w:val="nil"/>
              <w:bottom w:val="single" w:sz="8" w:space="0" w:color="AEAEAE"/>
              <w:right w:val="nil"/>
              <w:tl2br w:val="nil"/>
              <w:tr2bl w:val="nil"/>
            </w:tcBorders>
            <w:shd w:val="clear" w:color="auto" w:fill="E0E0E0"/>
          </w:tcPr>
          <w:p w14:paraId="6AB663B4" w14:textId="77777777" w:rsidR="000C43E5" w:rsidRPr="00ED6282" w:rsidRDefault="000C43E5" w:rsidP="000C43E5">
            <w:pPr>
              <w:ind w:left="60" w:right="60"/>
              <w:contextualSpacing/>
              <w:rPr>
                <w:color w:val="264A60"/>
                <w:sz w:val="18"/>
                <w:szCs w:val="18"/>
              </w:rPr>
            </w:pPr>
            <w:r w:rsidRPr="00ED6282">
              <w:rPr>
                <w:color w:val="264A60"/>
                <w:sz w:val="18"/>
                <w:szCs w:val="18"/>
              </w:rPr>
              <w:lastRenderedPageBreak/>
              <w:t>LEV</w:t>
            </w:r>
          </w:p>
        </w:tc>
        <w:tc>
          <w:tcPr>
            <w:tcW w:w="426" w:type="dxa"/>
            <w:tcBorders>
              <w:top w:val="single" w:sz="8" w:space="0" w:color="AEAEAE"/>
              <w:left w:val="nil"/>
              <w:bottom w:val="single" w:sz="8" w:space="0" w:color="AEAEAE"/>
              <w:right w:val="single" w:sz="8" w:space="0" w:color="E0E0E0"/>
              <w:tl2br w:val="nil"/>
              <w:tr2bl w:val="nil"/>
            </w:tcBorders>
            <w:shd w:val="clear" w:color="auto" w:fill="FFFFFF"/>
          </w:tcPr>
          <w:p w14:paraId="721BE3B9"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166</w:t>
            </w:r>
          </w:p>
        </w:tc>
        <w:tc>
          <w:tcPr>
            <w:tcW w:w="851"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2FC1716"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-10.2555</w:t>
            </w:r>
          </w:p>
        </w:tc>
        <w:tc>
          <w:tcPr>
            <w:tcW w:w="85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C0E699B" w14:textId="77777777" w:rsidR="000C43E5" w:rsidRPr="00ED6282" w:rsidRDefault="000C43E5" w:rsidP="000C43E5">
            <w:pPr>
              <w:ind w:left="60" w:right="60"/>
              <w:contextualSpacing/>
              <w:jc w:val="right"/>
              <w:rPr>
                <w:color w:val="010205"/>
                <w:sz w:val="18"/>
                <w:szCs w:val="18"/>
              </w:rPr>
            </w:pPr>
            <w:r w:rsidRPr="00ED6282">
              <w:rPr>
                <w:color w:val="010205"/>
                <w:sz w:val="18"/>
                <w:szCs w:val="18"/>
              </w:rPr>
              <w:t>8.6850</w:t>
            </w:r>
          </w:p>
        </w:tc>
        <w:tc>
          <w:tcPr>
            <w:tcW w:w="99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FF62525"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1.044250</w:t>
            </w:r>
          </w:p>
        </w:tc>
        <w:tc>
          <w:tcPr>
            <w:tcW w:w="992" w:type="dxa"/>
            <w:tcBorders>
              <w:top w:val="single" w:sz="8" w:space="0" w:color="AEAEAE"/>
              <w:left w:val="single" w:sz="8" w:space="0" w:color="E0E0E0"/>
              <w:bottom w:val="single" w:sz="8" w:space="0" w:color="AEAEAE"/>
              <w:right w:val="nil"/>
              <w:tl2br w:val="nil"/>
              <w:tr2bl w:val="nil"/>
            </w:tcBorders>
            <w:shd w:val="clear" w:color="auto" w:fill="FFFFFF"/>
          </w:tcPr>
          <w:p w14:paraId="40FBBB02"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1.8736402</w:t>
            </w:r>
          </w:p>
        </w:tc>
      </w:tr>
      <w:tr w:rsidR="000C43E5" w:rsidRPr="00ED6282" w14:paraId="5C2D692A" w14:textId="77777777" w:rsidTr="000C43E5">
        <w:trPr>
          <w:cantSplit/>
        </w:trPr>
        <w:tc>
          <w:tcPr>
            <w:tcW w:w="567" w:type="dxa"/>
            <w:tcBorders>
              <w:top w:val="single" w:sz="8" w:space="0" w:color="AEAEAE"/>
              <w:left w:val="nil"/>
              <w:bottom w:val="single" w:sz="8" w:space="0" w:color="152935"/>
              <w:right w:val="nil"/>
              <w:tl2br w:val="nil"/>
              <w:tr2bl w:val="nil"/>
            </w:tcBorders>
            <w:shd w:val="clear" w:color="auto" w:fill="E0E0E0"/>
          </w:tcPr>
          <w:p w14:paraId="445C6334" w14:textId="77777777" w:rsidR="000C43E5" w:rsidRPr="00ED6282" w:rsidRDefault="000C43E5" w:rsidP="000C43E5">
            <w:pPr>
              <w:ind w:left="60" w:right="60"/>
              <w:contextualSpacing/>
              <w:rPr>
                <w:color w:val="264A60"/>
                <w:sz w:val="18"/>
                <w:szCs w:val="18"/>
              </w:rPr>
            </w:pPr>
            <w:r w:rsidRPr="00ED6282">
              <w:rPr>
                <w:color w:val="264A60"/>
                <w:sz w:val="18"/>
                <w:szCs w:val="18"/>
              </w:rPr>
              <w:t>Valid N</w:t>
            </w:r>
          </w:p>
        </w:tc>
        <w:tc>
          <w:tcPr>
            <w:tcW w:w="426" w:type="dxa"/>
            <w:tcBorders>
              <w:top w:val="single" w:sz="8" w:space="0" w:color="AEAEAE"/>
              <w:left w:val="nil"/>
              <w:bottom w:val="single" w:sz="8" w:space="0" w:color="152935"/>
              <w:right w:val="single" w:sz="8" w:space="0" w:color="E0E0E0"/>
              <w:tl2br w:val="nil"/>
              <w:tr2bl w:val="nil"/>
            </w:tcBorders>
            <w:shd w:val="clear" w:color="auto" w:fill="FFFFFF"/>
          </w:tcPr>
          <w:p w14:paraId="2756A134" w14:textId="77777777" w:rsidR="000C43E5" w:rsidRPr="00ED6282" w:rsidRDefault="000C43E5" w:rsidP="000C43E5">
            <w:pPr>
              <w:ind w:left="60" w:right="60"/>
              <w:contextualSpacing/>
              <w:jc w:val="right"/>
              <w:rPr>
                <w:color w:val="010205"/>
                <w:sz w:val="18"/>
                <w:szCs w:val="18"/>
              </w:rPr>
            </w:pPr>
            <w:r w:rsidRPr="00ED6282">
              <w:rPr>
                <w:color w:val="010205"/>
                <w:sz w:val="18"/>
                <w:szCs w:val="18"/>
              </w:rPr>
              <w:t>166</w:t>
            </w:r>
          </w:p>
        </w:tc>
        <w:tc>
          <w:tcPr>
            <w:tcW w:w="851"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4172FD2A" w14:textId="77777777" w:rsidR="000C43E5" w:rsidRPr="00ED6282" w:rsidRDefault="000C43E5" w:rsidP="000C43E5">
            <w:pPr>
              <w:contextualSpacing/>
              <w:rPr>
                <w:sz w:val="18"/>
                <w:szCs w:val="18"/>
              </w:rPr>
            </w:pPr>
          </w:p>
        </w:tc>
        <w:tc>
          <w:tcPr>
            <w:tcW w:w="850"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736713B7" w14:textId="77777777" w:rsidR="000C43E5" w:rsidRPr="00ED6282" w:rsidRDefault="000C43E5" w:rsidP="000C43E5">
            <w:pPr>
              <w:contextualSpacing/>
              <w:rPr>
                <w:sz w:val="18"/>
                <w:szCs w:val="18"/>
              </w:rPr>
            </w:pPr>
          </w:p>
        </w:tc>
        <w:tc>
          <w:tcPr>
            <w:tcW w:w="992"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546C3D0E" w14:textId="77777777" w:rsidR="000C43E5" w:rsidRPr="00ED6282" w:rsidRDefault="000C43E5" w:rsidP="000C43E5">
            <w:pPr>
              <w:contextualSpacing/>
              <w:rPr>
                <w:sz w:val="18"/>
                <w:szCs w:val="18"/>
              </w:rPr>
            </w:pPr>
          </w:p>
        </w:tc>
        <w:tc>
          <w:tcPr>
            <w:tcW w:w="992"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576F1960" w14:textId="77777777" w:rsidR="000C43E5" w:rsidRPr="00ED6282" w:rsidRDefault="000C43E5" w:rsidP="000C43E5">
            <w:pPr>
              <w:contextualSpacing/>
              <w:rPr>
                <w:sz w:val="18"/>
                <w:szCs w:val="18"/>
              </w:rPr>
            </w:pPr>
          </w:p>
        </w:tc>
      </w:tr>
    </w:tbl>
    <w:p w14:paraId="552862AC" w14:textId="77777777" w:rsidR="000C43E5" w:rsidRDefault="000C43E5" w:rsidP="000C43E5">
      <w:pPr>
        <w:pStyle w:val="ListParagraph"/>
        <w:shd w:val="clear" w:color="auto" w:fill="FFFFFF"/>
        <w:spacing w:after="0" w:line="240" w:lineRule="auto"/>
        <w:ind w:left="426"/>
        <w:rPr>
          <w:rFonts w:ascii="Times New Roman" w:hAnsi="Times New Roman" w:cs="Times New Roman"/>
        </w:rPr>
      </w:pPr>
    </w:p>
    <w:p w14:paraId="095E4857" w14:textId="77777777" w:rsidR="000C43E5" w:rsidRPr="00634112" w:rsidRDefault="000C43E5" w:rsidP="000C43E5">
      <w:pPr>
        <w:ind w:left="60" w:right="60" w:firstLine="507"/>
        <w:contextualSpacing/>
        <w:jc w:val="both"/>
        <w:rPr>
          <w:color w:val="010205"/>
        </w:rPr>
      </w:pPr>
      <w:r w:rsidRPr="00634112">
        <w:t xml:space="preserve">Based on descriptive statistics in table 1 above, it is known that the distribution of data for tax avoidance variables with a minimum value of -6.3521 and a maximum value of 2.7817. The average variable value of tax avoidance is -.039569. This value is negative because the average sample company suffered a loss in the last year. </w:t>
      </w:r>
      <w:r w:rsidRPr="00634112">
        <w:rPr>
          <w:color w:val="010205"/>
        </w:rPr>
        <w:t>Similarly, the distribution of data on profitability variables with a minimum value of -.9377 and a maximum value of 0.1997. Average negative profitability variable value of -0.024391.</w:t>
      </w:r>
    </w:p>
    <w:p w14:paraId="0109DBA5" w14:textId="77777777" w:rsidR="000C43E5" w:rsidRPr="00634112" w:rsidRDefault="000C43E5" w:rsidP="000C43E5">
      <w:pPr>
        <w:ind w:left="60" w:right="60" w:firstLine="507"/>
        <w:contextualSpacing/>
        <w:jc w:val="both"/>
        <w:rPr>
          <w:color w:val="010205"/>
        </w:rPr>
      </w:pPr>
      <w:r w:rsidRPr="00634112">
        <w:rPr>
          <w:color w:val="010205"/>
        </w:rPr>
        <w:t>The average of liquidity has a value of 2.092743. This means that the ability to pay the company's short-term debt is very double its current debt. The minimum value on the leverage variable is -10.2555. This happens because the company suffers a fairly sharp loss which results in the value of equity to be negative. The average leverage value of the company is 1.044250, meaning that the leverage generated with DER shows that the company uses more debt than equity to finance its operations.</w:t>
      </w:r>
    </w:p>
    <w:p w14:paraId="744E8DB3" w14:textId="77777777" w:rsidR="001B5598" w:rsidRPr="000C43E5" w:rsidRDefault="001B5598" w:rsidP="000C43E5">
      <w:pPr>
        <w:pStyle w:val="Heading1"/>
        <w:ind w:left="450"/>
        <w:rPr>
          <w:b w:val="0"/>
        </w:rPr>
      </w:pPr>
    </w:p>
    <w:p w14:paraId="56B955F1" w14:textId="77777777" w:rsidR="000C43E5" w:rsidRPr="000C43E5" w:rsidRDefault="000C43E5" w:rsidP="000C43E5">
      <w:pPr>
        <w:shd w:val="clear" w:color="auto" w:fill="FFFFFF"/>
        <w:jc w:val="both"/>
        <w:rPr>
          <w:b/>
          <w:bCs/>
          <w:sz w:val="24"/>
          <w:szCs w:val="24"/>
        </w:rPr>
      </w:pPr>
      <w:r w:rsidRPr="000C43E5">
        <w:rPr>
          <w:b/>
          <w:bCs/>
          <w:sz w:val="24"/>
          <w:szCs w:val="24"/>
        </w:rPr>
        <w:t xml:space="preserve">Classic Assumption Test </w:t>
      </w:r>
    </w:p>
    <w:p w14:paraId="1F22CFDA" w14:textId="77777777" w:rsidR="000C43E5" w:rsidRPr="000C43E5" w:rsidRDefault="000C43E5" w:rsidP="000C43E5">
      <w:pPr>
        <w:pStyle w:val="ListParagraph"/>
        <w:shd w:val="clear" w:color="auto" w:fill="FFFFFF"/>
        <w:spacing w:after="0" w:line="240" w:lineRule="auto"/>
        <w:ind w:left="426"/>
        <w:rPr>
          <w:rFonts w:ascii="Times New Roman" w:hAnsi="Times New Roman" w:cs="Times New Roman"/>
          <w:b/>
          <w:bCs/>
          <w:sz w:val="24"/>
          <w:szCs w:val="24"/>
        </w:rPr>
      </w:pPr>
    </w:p>
    <w:p w14:paraId="158C94BF" w14:textId="77777777" w:rsidR="000C43E5" w:rsidRPr="000C43E5" w:rsidRDefault="000C43E5" w:rsidP="000C43E5">
      <w:pPr>
        <w:shd w:val="clear" w:color="auto" w:fill="FFFFFF"/>
        <w:jc w:val="center"/>
        <w:rPr>
          <w:sz w:val="24"/>
          <w:szCs w:val="24"/>
        </w:rPr>
      </w:pPr>
      <w:r w:rsidRPr="000C43E5">
        <w:rPr>
          <w:b/>
          <w:bCs/>
          <w:sz w:val="24"/>
          <w:szCs w:val="24"/>
        </w:rPr>
        <w:t>Table 2</w:t>
      </w:r>
      <w:r w:rsidRPr="000C43E5">
        <w:rPr>
          <w:sz w:val="24"/>
          <w:szCs w:val="24"/>
        </w:rPr>
        <w:t xml:space="preserve"> Normality test Result</w:t>
      </w:r>
    </w:p>
    <w:tbl>
      <w:tblPr>
        <w:tblW w:w="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1"/>
        <w:gridCol w:w="1133"/>
      </w:tblGrid>
      <w:tr w:rsidR="000C43E5" w:rsidRPr="000C43E5" w14:paraId="3D59DE70" w14:textId="77777777" w:rsidTr="000C43E5">
        <w:trPr>
          <w:cantSplit/>
          <w:jc w:val="center"/>
        </w:trPr>
        <w:tc>
          <w:tcPr>
            <w:tcW w:w="3964" w:type="dxa"/>
            <w:gridSpan w:val="2"/>
            <w:shd w:val="clear" w:color="auto" w:fill="FFFFFF"/>
          </w:tcPr>
          <w:p w14:paraId="4D331FDA" w14:textId="77777777" w:rsidR="000C43E5" w:rsidRPr="000C43E5" w:rsidRDefault="000C43E5" w:rsidP="000C43E5">
            <w:pPr>
              <w:adjustRightInd w:val="0"/>
              <w:ind w:left="60" w:right="60"/>
              <w:contextualSpacing/>
              <w:jc w:val="center"/>
              <w:rPr>
                <w:color w:val="000000"/>
                <w:sz w:val="24"/>
                <w:szCs w:val="24"/>
              </w:rPr>
            </w:pPr>
            <w:r w:rsidRPr="000C43E5">
              <w:rPr>
                <w:b/>
                <w:bCs/>
                <w:color w:val="000000"/>
                <w:sz w:val="24"/>
                <w:szCs w:val="24"/>
              </w:rPr>
              <w:t>One-Sample Kolmogorov-Smirnov Test</w:t>
            </w:r>
          </w:p>
        </w:tc>
      </w:tr>
      <w:tr w:rsidR="000C43E5" w:rsidRPr="000C43E5" w14:paraId="52C1D867" w14:textId="77777777" w:rsidTr="000C43E5">
        <w:trPr>
          <w:cantSplit/>
          <w:jc w:val="center"/>
        </w:trPr>
        <w:tc>
          <w:tcPr>
            <w:tcW w:w="2831" w:type="dxa"/>
            <w:shd w:val="clear" w:color="auto" w:fill="FFFFFF"/>
            <w:vAlign w:val="center"/>
          </w:tcPr>
          <w:p w14:paraId="3BB74C46"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N</w:t>
            </w:r>
          </w:p>
        </w:tc>
        <w:tc>
          <w:tcPr>
            <w:tcW w:w="1133" w:type="dxa"/>
            <w:shd w:val="clear" w:color="auto" w:fill="FFFFFF"/>
            <w:vAlign w:val="center"/>
          </w:tcPr>
          <w:p w14:paraId="01F5EE41"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166</w:t>
            </w:r>
          </w:p>
        </w:tc>
      </w:tr>
      <w:tr w:rsidR="000C43E5" w:rsidRPr="000C43E5" w14:paraId="797AC79A" w14:textId="77777777" w:rsidTr="000C43E5">
        <w:trPr>
          <w:cantSplit/>
          <w:jc w:val="center"/>
        </w:trPr>
        <w:tc>
          <w:tcPr>
            <w:tcW w:w="2831" w:type="dxa"/>
            <w:shd w:val="clear" w:color="auto" w:fill="FFFFFF"/>
            <w:vAlign w:val="center"/>
          </w:tcPr>
          <w:p w14:paraId="7197C860"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Kolmogorov-Smirnov Z</w:t>
            </w:r>
          </w:p>
        </w:tc>
        <w:tc>
          <w:tcPr>
            <w:tcW w:w="1133" w:type="dxa"/>
            <w:shd w:val="clear" w:color="auto" w:fill="FFFFFF"/>
          </w:tcPr>
          <w:p w14:paraId="66EEFD5D" w14:textId="77777777" w:rsidR="000C43E5" w:rsidRPr="000C43E5" w:rsidRDefault="000C43E5" w:rsidP="000C43E5">
            <w:pPr>
              <w:adjustRightInd w:val="0"/>
              <w:ind w:left="60" w:right="60"/>
              <w:contextualSpacing/>
              <w:jc w:val="right"/>
              <w:rPr>
                <w:color w:val="000000"/>
                <w:sz w:val="24"/>
                <w:szCs w:val="24"/>
              </w:rPr>
            </w:pPr>
            <w:r w:rsidRPr="000C43E5">
              <w:rPr>
                <w:color w:val="010205"/>
                <w:sz w:val="24"/>
                <w:szCs w:val="24"/>
              </w:rPr>
              <w:t>.246</w:t>
            </w:r>
          </w:p>
        </w:tc>
      </w:tr>
      <w:tr w:rsidR="000C43E5" w:rsidRPr="000C43E5" w14:paraId="667D3150" w14:textId="77777777" w:rsidTr="000C43E5">
        <w:trPr>
          <w:cantSplit/>
          <w:jc w:val="center"/>
        </w:trPr>
        <w:tc>
          <w:tcPr>
            <w:tcW w:w="2831" w:type="dxa"/>
            <w:shd w:val="clear" w:color="auto" w:fill="FFFFFF"/>
            <w:vAlign w:val="center"/>
          </w:tcPr>
          <w:p w14:paraId="76485195"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Asymp. Sig. (2-tailed)</w:t>
            </w:r>
          </w:p>
        </w:tc>
        <w:tc>
          <w:tcPr>
            <w:tcW w:w="1133" w:type="dxa"/>
            <w:shd w:val="clear" w:color="auto" w:fill="FFFFFF"/>
          </w:tcPr>
          <w:p w14:paraId="4F6EBE09" w14:textId="77777777" w:rsidR="000C43E5" w:rsidRPr="000C43E5" w:rsidRDefault="000C43E5" w:rsidP="000C43E5">
            <w:pPr>
              <w:adjustRightInd w:val="0"/>
              <w:ind w:left="60" w:right="60"/>
              <w:contextualSpacing/>
              <w:jc w:val="right"/>
              <w:rPr>
                <w:b/>
                <w:color w:val="000000"/>
                <w:sz w:val="24"/>
                <w:szCs w:val="24"/>
              </w:rPr>
            </w:pPr>
            <w:r w:rsidRPr="000C43E5">
              <w:rPr>
                <w:color w:val="010205"/>
                <w:sz w:val="24"/>
                <w:szCs w:val="24"/>
              </w:rPr>
              <w:t>.065</w:t>
            </w:r>
            <w:r w:rsidRPr="000C43E5">
              <w:rPr>
                <w:color w:val="010205"/>
                <w:sz w:val="24"/>
                <w:szCs w:val="24"/>
                <w:vertAlign w:val="superscript"/>
              </w:rPr>
              <w:t>c</w:t>
            </w:r>
          </w:p>
        </w:tc>
      </w:tr>
      <w:tr w:rsidR="000C43E5" w:rsidRPr="000C43E5" w14:paraId="1C990B3B" w14:textId="77777777" w:rsidTr="000C43E5">
        <w:trPr>
          <w:cantSplit/>
          <w:jc w:val="center"/>
        </w:trPr>
        <w:tc>
          <w:tcPr>
            <w:tcW w:w="3964" w:type="dxa"/>
            <w:gridSpan w:val="2"/>
            <w:shd w:val="clear" w:color="auto" w:fill="FFFFFF"/>
          </w:tcPr>
          <w:p w14:paraId="6BD9C64B"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a. Test distribution is Normal.</w:t>
            </w:r>
          </w:p>
        </w:tc>
      </w:tr>
      <w:tr w:rsidR="000C43E5" w:rsidRPr="000C43E5" w14:paraId="4EB5940D" w14:textId="77777777" w:rsidTr="000C43E5">
        <w:trPr>
          <w:cantSplit/>
          <w:jc w:val="center"/>
        </w:trPr>
        <w:tc>
          <w:tcPr>
            <w:tcW w:w="3964" w:type="dxa"/>
            <w:gridSpan w:val="2"/>
            <w:shd w:val="clear" w:color="auto" w:fill="FFFFFF"/>
          </w:tcPr>
          <w:p w14:paraId="3650A423"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b. Calculated from data.</w:t>
            </w:r>
          </w:p>
        </w:tc>
      </w:tr>
    </w:tbl>
    <w:p w14:paraId="26FD9F8D" w14:textId="77777777" w:rsidR="000C43E5" w:rsidRPr="000C43E5" w:rsidRDefault="000C43E5" w:rsidP="000C43E5">
      <w:pPr>
        <w:shd w:val="clear" w:color="auto" w:fill="FFFFFF"/>
        <w:jc w:val="both"/>
        <w:rPr>
          <w:b/>
          <w:bCs/>
          <w:sz w:val="24"/>
          <w:szCs w:val="24"/>
        </w:rPr>
      </w:pPr>
    </w:p>
    <w:p w14:paraId="6ADE9C1E" w14:textId="77777777" w:rsidR="000C43E5" w:rsidRPr="000C43E5" w:rsidRDefault="000C43E5" w:rsidP="000C43E5">
      <w:pPr>
        <w:shd w:val="clear" w:color="auto" w:fill="FFFFFF"/>
        <w:jc w:val="both"/>
        <w:rPr>
          <w:sz w:val="24"/>
          <w:szCs w:val="24"/>
        </w:rPr>
      </w:pPr>
      <w:r w:rsidRPr="000C43E5">
        <w:rPr>
          <w:sz w:val="24"/>
          <w:szCs w:val="24"/>
        </w:rPr>
        <w:t>The results of the Kolmogorov-Smirnov test in table 2 above show a significance figure above 0.05. Thus, it can be concluded that all data has been distributed normally.</w:t>
      </w:r>
    </w:p>
    <w:p w14:paraId="79181811" w14:textId="77777777" w:rsidR="000C43E5" w:rsidRPr="000C43E5" w:rsidRDefault="000C43E5" w:rsidP="000C43E5">
      <w:pPr>
        <w:shd w:val="clear" w:color="auto" w:fill="FFFFFF"/>
        <w:jc w:val="center"/>
        <w:rPr>
          <w:sz w:val="24"/>
          <w:szCs w:val="24"/>
        </w:rPr>
      </w:pPr>
      <w:r w:rsidRPr="000C43E5">
        <w:rPr>
          <w:b/>
          <w:bCs/>
          <w:sz w:val="24"/>
          <w:szCs w:val="24"/>
        </w:rPr>
        <w:t>Table 3</w:t>
      </w:r>
      <w:r w:rsidRPr="000C43E5">
        <w:rPr>
          <w:sz w:val="24"/>
          <w:szCs w:val="24"/>
        </w:rPr>
        <w:t xml:space="preserve"> </w:t>
      </w:r>
      <w:r w:rsidRPr="000C43E5">
        <w:rPr>
          <w:color w:val="000000"/>
          <w:sz w:val="24"/>
          <w:szCs w:val="24"/>
        </w:rPr>
        <w:t>Heteroscedasticity Test Result</w:t>
      </w:r>
    </w:p>
    <w:tbl>
      <w:tblPr>
        <w:tblW w:w="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1954"/>
        <w:gridCol w:w="1559"/>
        <w:gridCol w:w="1305"/>
      </w:tblGrid>
      <w:tr w:rsidR="000C43E5" w:rsidRPr="000C43E5" w14:paraId="74A3FF4B" w14:textId="77777777" w:rsidTr="000C43E5">
        <w:trPr>
          <w:cantSplit/>
          <w:trHeight w:val="276"/>
          <w:jc w:val="center"/>
        </w:trPr>
        <w:tc>
          <w:tcPr>
            <w:tcW w:w="1984" w:type="dxa"/>
            <w:gridSpan w:val="2"/>
            <w:vMerge w:val="restart"/>
            <w:shd w:val="clear" w:color="auto" w:fill="FFFFFF"/>
          </w:tcPr>
          <w:p w14:paraId="2C60370B"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Model</w:t>
            </w:r>
          </w:p>
        </w:tc>
        <w:tc>
          <w:tcPr>
            <w:tcW w:w="1559" w:type="dxa"/>
            <w:vMerge w:val="restart"/>
            <w:shd w:val="clear" w:color="auto" w:fill="FFFFFF"/>
          </w:tcPr>
          <w:p w14:paraId="022C6602"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t</w:t>
            </w:r>
          </w:p>
        </w:tc>
        <w:tc>
          <w:tcPr>
            <w:tcW w:w="1305" w:type="dxa"/>
            <w:vMerge w:val="restart"/>
            <w:shd w:val="clear" w:color="auto" w:fill="FFFFFF"/>
          </w:tcPr>
          <w:p w14:paraId="7C52195D"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Sig.</w:t>
            </w:r>
          </w:p>
        </w:tc>
      </w:tr>
      <w:tr w:rsidR="000C43E5" w:rsidRPr="000C43E5" w14:paraId="1968D459" w14:textId="77777777" w:rsidTr="000C43E5">
        <w:trPr>
          <w:cantSplit/>
          <w:trHeight w:val="276"/>
          <w:jc w:val="center"/>
        </w:trPr>
        <w:tc>
          <w:tcPr>
            <w:tcW w:w="1984" w:type="dxa"/>
            <w:gridSpan w:val="2"/>
            <w:vMerge/>
            <w:shd w:val="clear" w:color="auto" w:fill="FFFFFF"/>
          </w:tcPr>
          <w:p w14:paraId="5285D06A" w14:textId="77777777" w:rsidR="000C43E5" w:rsidRPr="000C43E5" w:rsidRDefault="000C43E5" w:rsidP="000C43E5">
            <w:pPr>
              <w:adjustRightInd w:val="0"/>
              <w:contextualSpacing/>
              <w:jc w:val="center"/>
              <w:rPr>
                <w:color w:val="000000"/>
                <w:sz w:val="24"/>
                <w:szCs w:val="24"/>
              </w:rPr>
            </w:pPr>
          </w:p>
        </w:tc>
        <w:tc>
          <w:tcPr>
            <w:tcW w:w="1559" w:type="dxa"/>
            <w:vMerge/>
            <w:shd w:val="clear" w:color="auto" w:fill="FFFFFF"/>
          </w:tcPr>
          <w:p w14:paraId="72994932" w14:textId="77777777" w:rsidR="000C43E5" w:rsidRPr="000C43E5" w:rsidRDefault="000C43E5" w:rsidP="000C43E5">
            <w:pPr>
              <w:adjustRightInd w:val="0"/>
              <w:contextualSpacing/>
              <w:jc w:val="center"/>
              <w:rPr>
                <w:color w:val="000000"/>
                <w:sz w:val="24"/>
                <w:szCs w:val="24"/>
              </w:rPr>
            </w:pPr>
          </w:p>
        </w:tc>
        <w:tc>
          <w:tcPr>
            <w:tcW w:w="1305" w:type="dxa"/>
            <w:vMerge/>
            <w:shd w:val="clear" w:color="auto" w:fill="FFFFFF"/>
          </w:tcPr>
          <w:p w14:paraId="7D9A096F" w14:textId="77777777" w:rsidR="000C43E5" w:rsidRPr="000C43E5" w:rsidRDefault="000C43E5" w:rsidP="000C43E5">
            <w:pPr>
              <w:adjustRightInd w:val="0"/>
              <w:contextualSpacing/>
              <w:jc w:val="center"/>
              <w:rPr>
                <w:color w:val="000000"/>
                <w:sz w:val="24"/>
                <w:szCs w:val="24"/>
              </w:rPr>
            </w:pPr>
          </w:p>
        </w:tc>
      </w:tr>
      <w:tr w:rsidR="000C43E5" w:rsidRPr="000C43E5" w14:paraId="32A1604E" w14:textId="77777777" w:rsidTr="000C43E5">
        <w:trPr>
          <w:cantSplit/>
          <w:jc w:val="center"/>
        </w:trPr>
        <w:tc>
          <w:tcPr>
            <w:tcW w:w="30" w:type="dxa"/>
            <w:vMerge w:val="restart"/>
            <w:shd w:val="clear" w:color="auto" w:fill="FFFFFF"/>
            <w:vAlign w:val="center"/>
          </w:tcPr>
          <w:p w14:paraId="65A718E5"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1</w:t>
            </w:r>
          </w:p>
        </w:tc>
        <w:tc>
          <w:tcPr>
            <w:tcW w:w="1954" w:type="dxa"/>
            <w:shd w:val="clear" w:color="auto" w:fill="FFFFFF"/>
            <w:vAlign w:val="center"/>
          </w:tcPr>
          <w:p w14:paraId="5672FCBB"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(Constant)</w:t>
            </w:r>
          </w:p>
        </w:tc>
        <w:tc>
          <w:tcPr>
            <w:tcW w:w="1559" w:type="dxa"/>
            <w:shd w:val="clear" w:color="auto" w:fill="FFFFFF"/>
            <w:vAlign w:val="center"/>
          </w:tcPr>
          <w:p w14:paraId="14566F39"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1.974</w:t>
            </w:r>
          </w:p>
        </w:tc>
        <w:tc>
          <w:tcPr>
            <w:tcW w:w="1305" w:type="dxa"/>
            <w:shd w:val="clear" w:color="auto" w:fill="FFFFFF"/>
            <w:vAlign w:val="center"/>
          </w:tcPr>
          <w:p w14:paraId="52F596A7"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.059</w:t>
            </w:r>
          </w:p>
        </w:tc>
      </w:tr>
      <w:tr w:rsidR="000C43E5" w:rsidRPr="000C43E5" w14:paraId="34609B01" w14:textId="77777777" w:rsidTr="000C43E5">
        <w:trPr>
          <w:cantSplit/>
          <w:jc w:val="center"/>
        </w:trPr>
        <w:tc>
          <w:tcPr>
            <w:tcW w:w="30" w:type="dxa"/>
            <w:vMerge/>
            <w:shd w:val="clear" w:color="auto" w:fill="FFFFFF"/>
            <w:vAlign w:val="center"/>
          </w:tcPr>
          <w:p w14:paraId="73F86FCB" w14:textId="77777777" w:rsidR="000C43E5" w:rsidRPr="000C43E5" w:rsidRDefault="000C43E5" w:rsidP="000C43E5">
            <w:pPr>
              <w:adjustRightInd w:val="0"/>
              <w:contextualSpacing/>
              <w:jc w:val="center"/>
              <w:rPr>
                <w:color w:val="000000"/>
                <w:sz w:val="24"/>
                <w:szCs w:val="24"/>
              </w:rPr>
            </w:pPr>
          </w:p>
        </w:tc>
        <w:tc>
          <w:tcPr>
            <w:tcW w:w="1954" w:type="dxa"/>
            <w:shd w:val="clear" w:color="auto" w:fill="FFFFFF"/>
            <w:vAlign w:val="center"/>
          </w:tcPr>
          <w:p w14:paraId="1CE5A853"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ROA</w:t>
            </w:r>
          </w:p>
        </w:tc>
        <w:tc>
          <w:tcPr>
            <w:tcW w:w="1559" w:type="dxa"/>
            <w:shd w:val="clear" w:color="auto" w:fill="FFFFFF"/>
            <w:vAlign w:val="center"/>
          </w:tcPr>
          <w:p w14:paraId="31772915"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-.944</w:t>
            </w:r>
          </w:p>
        </w:tc>
        <w:tc>
          <w:tcPr>
            <w:tcW w:w="1305" w:type="dxa"/>
            <w:shd w:val="clear" w:color="auto" w:fill="FFFFFF"/>
            <w:vAlign w:val="center"/>
          </w:tcPr>
          <w:p w14:paraId="436FD58F"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.354</w:t>
            </w:r>
          </w:p>
        </w:tc>
      </w:tr>
      <w:tr w:rsidR="000C43E5" w:rsidRPr="000C43E5" w14:paraId="3EE1C2FD" w14:textId="77777777" w:rsidTr="000C43E5">
        <w:trPr>
          <w:cantSplit/>
          <w:jc w:val="center"/>
        </w:trPr>
        <w:tc>
          <w:tcPr>
            <w:tcW w:w="30" w:type="dxa"/>
            <w:vMerge/>
            <w:shd w:val="clear" w:color="auto" w:fill="FFFFFF"/>
            <w:vAlign w:val="center"/>
          </w:tcPr>
          <w:p w14:paraId="792736D9" w14:textId="77777777" w:rsidR="000C43E5" w:rsidRPr="000C43E5" w:rsidRDefault="000C43E5" w:rsidP="000C43E5">
            <w:pPr>
              <w:adjustRightInd w:val="0"/>
              <w:contextualSpacing/>
              <w:jc w:val="center"/>
              <w:rPr>
                <w:color w:val="000000"/>
                <w:sz w:val="24"/>
                <w:szCs w:val="24"/>
              </w:rPr>
            </w:pPr>
          </w:p>
        </w:tc>
        <w:tc>
          <w:tcPr>
            <w:tcW w:w="1954" w:type="dxa"/>
            <w:shd w:val="clear" w:color="auto" w:fill="FFFFFF"/>
            <w:vAlign w:val="center"/>
          </w:tcPr>
          <w:p w14:paraId="70701997"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Current Ratio</w:t>
            </w:r>
          </w:p>
        </w:tc>
        <w:tc>
          <w:tcPr>
            <w:tcW w:w="1559" w:type="dxa"/>
            <w:shd w:val="clear" w:color="auto" w:fill="FFFFFF"/>
            <w:vAlign w:val="center"/>
          </w:tcPr>
          <w:p w14:paraId="1792B250"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-.673</w:t>
            </w:r>
          </w:p>
        </w:tc>
        <w:tc>
          <w:tcPr>
            <w:tcW w:w="1305" w:type="dxa"/>
            <w:shd w:val="clear" w:color="auto" w:fill="FFFFFF"/>
            <w:vAlign w:val="center"/>
          </w:tcPr>
          <w:p w14:paraId="71CF75A9"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.507</w:t>
            </w:r>
          </w:p>
        </w:tc>
      </w:tr>
      <w:tr w:rsidR="000C43E5" w:rsidRPr="000C43E5" w14:paraId="2C398B6B" w14:textId="77777777" w:rsidTr="000C43E5">
        <w:trPr>
          <w:cantSplit/>
          <w:jc w:val="center"/>
        </w:trPr>
        <w:tc>
          <w:tcPr>
            <w:tcW w:w="30" w:type="dxa"/>
            <w:vMerge/>
            <w:shd w:val="clear" w:color="auto" w:fill="FFFFFF"/>
            <w:vAlign w:val="center"/>
          </w:tcPr>
          <w:p w14:paraId="760241A4" w14:textId="77777777" w:rsidR="000C43E5" w:rsidRPr="000C43E5" w:rsidRDefault="000C43E5" w:rsidP="000C43E5">
            <w:pPr>
              <w:adjustRightInd w:val="0"/>
              <w:contextualSpacing/>
              <w:jc w:val="center"/>
              <w:rPr>
                <w:color w:val="000000"/>
                <w:sz w:val="24"/>
                <w:szCs w:val="24"/>
              </w:rPr>
            </w:pPr>
          </w:p>
        </w:tc>
        <w:tc>
          <w:tcPr>
            <w:tcW w:w="1954" w:type="dxa"/>
            <w:shd w:val="clear" w:color="auto" w:fill="FFFFFF"/>
            <w:vAlign w:val="center"/>
          </w:tcPr>
          <w:p w14:paraId="4F9D39B2"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Leverage</w:t>
            </w:r>
          </w:p>
        </w:tc>
        <w:tc>
          <w:tcPr>
            <w:tcW w:w="1559" w:type="dxa"/>
            <w:shd w:val="clear" w:color="auto" w:fill="FFFFFF"/>
            <w:vAlign w:val="center"/>
          </w:tcPr>
          <w:p w14:paraId="5DBB4B16"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.675</w:t>
            </w:r>
          </w:p>
        </w:tc>
        <w:tc>
          <w:tcPr>
            <w:tcW w:w="1305" w:type="dxa"/>
            <w:shd w:val="clear" w:color="auto" w:fill="FFFFFF"/>
            <w:vAlign w:val="center"/>
          </w:tcPr>
          <w:p w14:paraId="753C7AA2"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.506</w:t>
            </w:r>
          </w:p>
        </w:tc>
      </w:tr>
    </w:tbl>
    <w:p w14:paraId="36A6575F" w14:textId="77777777" w:rsidR="000C43E5" w:rsidRPr="000C43E5" w:rsidRDefault="000C43E5" w:rsidP="000C43E5">
      <w:pPr>
        <w:adjustRightInd w:val="0"/>
        <w:ind w:firstLine="567"/>
        <w:jc w:val="both"/>
        <w:rPr>
          <w:sz w:val="24"/>
          <w:szCs w:val="24"/>
        </w:rPr>
      </w:pPr>
    </w:p>
    <w:p w14:paraId="2672A6A3" w14:textId="6D8F7B72" w:rsidR="000C43E5" w:rsidRDefault="000C43E5" w:rsidP="000C43E5">
      <w:pPr>
        <w:adjustRightInd w:val="0"/>
        <w:ind w:firstLine="567"/>
        <w:jc w:val="both"/>
        <w:rPr>
          <w:sz w:val="24"/>
          <w:szCs w:val="24"/>
        </w:rPr>
      </w:pPr>
      <w:r w:rsidRPr="000C43E5">
        <w:rPr>
          <w:sz w:val="24"/>
          <w:szCs w:val="24"/>
        </w:rPr>
        <w:t>The heteroscedasticity test results in table 3 above on each variable show significance values of 0.354 for ROA, 0.507 for current ratio, and 0.506 for leverage. The test results of each variable showed a number above 0.05. This means that there is no problem of heteroscedasticity in each variable.</w:t>
      </w:r>
    </w:p>
    <w:p w14:paraId="347FA8AB" w14:textId="77777777" w:rsidR="000C43E5" w:rsidRPr="000C43E5" w:rsidRDefault="000C43E5" w:rsidP="000C43E5">
      <w:pPr>
        <w:adjustRightInd w:val="0"/>
        <w:ind w:firstLine="567"/>
        <w:jc w:val="both"/>
        <w:rPr>
          <w:sz w:val="24"/>
          <w:szCs w:val="24"/>
        </w:rPr>
      </w:pPr>
    </w:p>
    <w:p w14:paraId="176F8DDD" w14:textId="77777777" w:rsidR="000C43E5" w:rsidRPr="000C43E5" w:rsidRDefault="000C43E5" w:rsidP="000C43E5">
      <w:pPr>
        <w:shd w:val="clear" w:color="auto" w:fill="FFFFFF"/>
        <w:jc w:val="center"/>
        <w:rPr>
          <w:b/>
          <w:bCs/>
          <w:sz w:val="24"/>
          <w:szCs w:val="24"/>
        </w:rPr>
      </w:pPr>
      <w:r w:rsidRPr="000C43E5">
        <w:rPr>
          <w:b/>
          <w:bCs/>
          <w:color w:val="000000"/>
          <w:sz w:val="24"/>
          <w:szCs w:val="24"/>
        </w:rPr>
        <w:t xml:space="preserve">Table 4. </w:t>
      </w:r>
      <w:r w:rsidRPr="000C43E5">
        <w:rPr>
          <w:color w:val="000000"/>
          <w:sz w:val="24"/>
          <w:szCs w:val="24"/>
        </w:rPr>
        <w:t>The Result Multicollinearity Test</w:t>
      </w:r>
    </w:p>
    <w:tbl>
      <w:tblPr>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967"/>
        <w:gridCol w:w="1480"/>
        <w:gridCol w:w="1040"/>
        <w:gridCol w:w="7"/>
      </w:tblGrid>
      <w:tr w:rsidR="000C43E5" w:rsidRPr="000C43E5" w14:paraId="3DBA0169" w14:textId="77777777" w:rsidTr="000C43E5">
        <w:trPr>
          <w:cantSplit/>
          <w:jc w:val="center"/>
        </w:trPr>
        <w:tc>
          <w:tcPr>
            <w:tcW w:w="2393" w:type="dxa"/>
            <w:gridSpan w:val="2"/>
            <w:vMerge w:val="restart"/>
            <w:shd w:val="clear" w:color="auto" w:fill="FFFFFF"/>
          </w:tcPr>
          <w:p w14:paraId="2DA2182D"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Model</w:t>
            </w:r>
          </w:p>
        </w:tc>
        <w:tc>
          <w:tcPr>
            <w:tcW w:w="2527" w:type="dxa"/>
            <w:gridSpan w:val="3"/>
            <w:shd w:val="clear" w:color="auto" w:fill="FFFFFF"/>
          </w:tcPr>
          <w:p w14:paraId="3E86355D"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Collinearity Statistics</w:t>
            </w:r>
          </w:p>
        </w:tc>
      </w:tr>
      <w:tr w:rsidR="000C43E5" w:rsidRPr="000C43E5" w14:paraId="5435E0EF" w14:textId="77777777" w:rsidTr="000C43E5">
        <w:trPr>
          <w:gridAfter w:val="1"/>
          <w:wAfter w:w="7" w:type="dxa"/>
          <w:cantSplit/>
          <w:jc w:val="center"/>
        </w:trPr>
        <w:tc>
          <w:tcPr>
            <w:tcW w:w="2393" w:type="dxa"/>
            <w:gridSpan w:val="2"/>
            <w:vMerge/>
            <w:shd w:val="clear" w:color="auto" w:fill="FFFFFF"/>
          </w:tcPr>
          <w:p w14:paraId="23D4DDB5" w14:textId="77777777" w:rsidR="000C43E5" w:rsidRPr="000C43E5" w:rsidRDefault="000C43E5" w:rsidP="000C43E5">
            <w:pPr>
              <w:adjustRightInd w:val="0"/>
              <w:contextualSpacing/>
              <w:rPr>
                <w:color w:val="000000"/>
                <w:sz w:val="24"/>
                <w:szCs w:val="24"/>
              </w:rPr>
            </w:pPr>
          </w:p>
        </w:tc>
        <w:tc>
          <w:tcPr>
            <w:tcW w:w="1480" w:type="dxa"/>
            <w:shd w:val="clear" w:color="auto" w:fill="FFFFFF"/>
          </w:tcPr>
          <w:p w14:paraId="384A23F3"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Tolerance</w:t>
            </w:r>
          </w:p>
        </w:tc>
        <w:tc>
          <w:tcPr>
            <w:tcW w:w="1040" w:type="dxa"/>
            <w:shd w:val="clear" w:color="auto" w:fill="FFFFFF"/>
          </w:tcPr>
          <w:p w14:paraId="0F51E7CA"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VIF</w:t>
            </w:r>
          </w:p>
        </w:tc>
      </w:tr>
      <w:tr w:rsidR="000C43E5" w:rsidRPr="000C43E5" w14:paraId="1A894654" w14:textId="77777777" w:rsidTr="000C43E5">
        <w:trPr>
          <w:gridAfter w:val="1"/>
          <w:wAfter w:w="7" w:type="dxa"/>
          <w:cantSplit/>
          <w:jc w:val="center"/>
        </w:trPr>
        <w:tc>
          <w:tcPr>
            <w:tcW w:w="426" w:type="dxa"/>
            <w:vMerge w:val="restart"/>
            <w:shd w:val="clear" w:color="auto" w:fill="FFFFFF"/>
            <w:vAlign w:val="center"/>
          </w:tcPr>
          <w:p w14:paraId="320325A3"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1</w:t>
            </w:r>
          </w:p>
        </w:tc>
        <w:tc>
          <w:tcPr>
            <w:tcW w:w="1967" w:type="dxa"/>
            <w:shd w:val="clear" w:color="auto" w:fill="FFFFFF"/>
            <w:vAlign w:val="center"/>
          </w:tcPr>
          <w:p w14:paraId="3DC7BEDF"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(Constant)</w:t>
            </w:r>
          </w:p>
        </w:tc>
        <w:tc>
          <w:tcPr>
            <w:tcW w:w="1480" w:type="dxa"/>
            <w:shd w:val="clear" w:color="auto" w:fill="FFFFFF"/>
          </w:tcPr>
          <w:p w14:paraId="32F256FE" w14:textId="77777777" w:rsidR="000C43E5" w:rsidRPr="000C43E5" w:rsidRDefault="000C43E5" w:rsidP="000C43E5">
            <w:pPr>
              <w:adjustRightInd w:val="0"/>
              <w:contextualSpacing/>
              <w:rPr>
                <w:sz w:val="24"/>
                <w:szCs w:val="24"/>
              </w:rPr>
            </w:pPr>
          </w:p>
        </w:tc>
        <w:tc>
          <w:tcPr>
            <w:tcW w:w="1040" w:type="dxa"/>
            <w:shd w:val="clear" w:color="auto" w:fill="FFFFFF"/>
          </w:tcPr>
          <w:p w14:paraId="160009EB" w14:textId="77777777" w:rsidR="000C43E5" w:rsidRPr="000C43E5" w:rsidRDefault="000C43E5" w:rsidP="000C43E5">
            <w:pPr>
              <w:adjustRightInd w:val="0"/>
              <w:contextualSpacing/>
              <w:rPr>
                <w:sz w:val="24"/>
                <w:szCs w:val="24"/>
              </w:rPr>
            </w:pPr>
          </w:p>
        </w:tc>
      </w:tr>
      <w:tr w:rsidR="000C43E5" w:rsidRPr="000C43E5" w14:paraId="23D504D6" w14:textId="77777777" w:rsidTr="000C43E5">
        <w:trPr>
          <w:gridAfter w:val="1"/>
          <w:wAfter w:w="7" w:type="dxa"/>
          <w:cantSplit/>
          <w:jc w:val="center"/>
        </w:trPr>
        <w:tc>
          <w:tcPr>
            <w:tcW w:w="426" w:type="dxa"/>
            <w:vMerge/>
            <w:shd w:val="clear" w:color="auto" w:fill="FFFFFF"/>
            <w:vAlign w:val="center"/>
          </w:tcPr>
          <w:p w14:paraId="1F5BC2B5" w14:textId="77777777" w:rsidR="000C43E5" w:rsidRPr="000C43E5" w:rsidRDefault="000C43E5" w:rsidP="000C43E5">
            <w:pPr>
              <w:adjustRightInd w:val="0"/>
              <w:contextualSpacing/>
              <w:rPr>
                <w:sz w:val="24"/>
                <w:szCs w:val="24"/>
              </w:rPr>
            </w:pPr>
          </w:p>
        </w:tc>
        <w:tc>
          <w:tcPr>
            <w:tcW w:w="1967" w:type="dxa"/>
            <w:shd w:val="clear" w:color="auto" w:fill="FFFFFF"/>
            <w:vAlign w:val="center"/>
          </w:tcPr>
          <w:p w14:paraId="1E496A74"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ROA</w:t>
            </w:r>
          </w:p>
        </w:tc>
        <w:tc>
          <w:tcPr>
            <w:tcW w:w="1480" w:type="dxa"/>
            <w:shd w:val="clear" w:color="auto" w:fill="FFFFFF"/>
            <w:vAlign w:val="center"/>
          </w:tcPr>
          <w:p w14:paraId="0185AFAC"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.981</w:t>
            </w:r>
          </w:p>
        </w:tc>
        <w:tc>
          <w:tcPr>
            <w:tcW w:w="1040" w:type="dxa"/>
            <w:shd w:val="clear" w:color="auto" w:fill="FFFFFF"/>
            <w:vAlign w:val="center"/>
          </w:tcPr>
          <w:p w14:paraId="00B11090"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1.019</w:t>
            </w:r>
          </w:p>
        </w:tc>
      </w:tr>
      <w:tr w:rsidR="000C43E5" w:rsidRPr="000C43E5" w14:paraId="2B677486" w14:textId="77777777" w:rsidTr="000C43E5">
        <w:trPr>
          <w:gridAfter w:val="1"/>
          <w:wAfter w:w="7" w:type="dxa"/>
          <w:cantSplit/>
          <w:trHeight w:val="70"/>
          <w:jc w:val="center"/>
        </w:trPr>
        <w:tc>
          <w:tcPr>
            <w:tcW w:w="426" w:type="dxa"/>
            <w:vMerge/>
            <w:shd w:val="clear" w:color="auto" w:fill="FFFFFF"/>
            <w:vAlign w:val="center"/>
          </w:tcPr>
          <w:p w14:paraId="3E273E46" w14:textId="77777777" w:rsidR="000C43E5" w:rsidRPr="000C43E5" w:rsidRDefault="000C43E5" w:rsidP="000C43E5">
            <w:pPr>
              <w:adjustRightInd w:val="0"/>
              <w:contextualSpacing/>
              <w:rPr>
                <w:color w:val="000000"/>
                <w:sz w:val="24"/>
                <w:szCs w:val="24"/>
              </w:rPr>
            </w:pPr>
          </w:p>
        </w:tc>
        <w:tc>
          <w:tcPr>
            <w:tcW w:w="1967" w:type="dxa"/>
            <w:shd w:val="clear" w:color="auto" w:fill="FFFFFF"/>
            <w:vAlign w:val="center"/>
          </w:tcPr>
          <w:p w14:paraId="028CDB4A"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Current Ratio</w:t>
            </w:r>
          </w:p>
        </w:tc>
        <w:tc>
          <w:tcPr>
            <w:tcW w:w="1480" w:type="dxa"/>
            <w:shd w:val="clear" w:color="auto" w:fill="FFFFFF"/>
            <w:vAlign w:val="center"/>
          </w:tcPr>
          <w:p w14:paraId="70C54533"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.865</w:t>
            </w:r>
          </w:p>
        </w:tc>
        <w:tc>
          <w:tcPr>
            <w:tcW w:w="1040" w:type="dxa"/>
            <w:shd w:val="clear" w:color="auto" w:fill="FFFFFF"/>
            <w:vAlign w:val="center"/>
          </w:tcPr>
          <w:p w14:paraId="5AFCB2E2"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1.156</w:t>
            </w:r>
          </w:p>
        </w:tc>
      </w:tr>
      <w:tr w:rsidR="000C43E5" w:rsidRPr="000C43E5" w14:paraId="5DDD6DEA" w14:textId="77777777" w:rsidTr="000C43E5">
        <w:trPr>
          <w:gridAfter w:val="1"/>
          <w:wAfter w:w="7" w:type="dxa"/>
          <w:cantSplit/>
          <w:jc w:val="center"/>
        </w:trPr>
        <w:tc>
          <w:tcPr>
            <w:tcW w:w="426" w:type="dxa"/>
            <w:vMerge/>
            <w:shd w:val="clear" w:color="auto" w:fill="FFFFFF"/>
            <w:vAlign w:val="center"/>
          </w:tcPr>
          <w:p w14:paraId="3AEE0C27" w14:textId="77777777" w:rsidR="000C43E5" w:rsidRPr="000C43E5" w:rsidRDefault="000C43E5" w:rsidP="000C43E5">
            <w:pPr>
              <w:adjustRightInd w:val="0"/>
              <w:contextualSpacing/>
              <w:rPr>
                <w:color w:val="000000"/>
                <w:sz w:val="24"/>
                <w:szCs w:val="24"/>
              </w:rPr>
            </w:pPr>
          </w:p>
        </w:tc>
        <w:tc>
          <w:tcPr>
            <w:tcW w:w="1967" w:type="dxa"/>
            <w:shd w:val="clear" w:color="auto" w:fill="FFFFFF"/>
            <w:vAlign w:val="center"/>
          </w:tcPr>
          <w:p w14:paraId="5954F4FB"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Leverage</w:t>
            </w:r>
          </w:p>
        </w:tc>
        <w:tc>
          <w:tcPr>
            <w:tcW w:w="1480" w:type="dxa"/>
            <w:shd w:val="clear" w:color="auto" w:fill="FFFFFF"/>
            <w:vAlign w:val="center"/>
          </w:tcPr>
          <w:p w14:paraId="2B471F98"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.863</w:t>
            </w:r>
          </w:p>
        </w:tc>
        <w:tc>
          <w:tcPr>
            <w:tcW w:w="1040" w:type="dxa"/>
            <w:shd w:val="clear" w:color="auto" w:fill="FFFFFF"/>
            <w:vAlign w:val="center"/>
          </w:tcPr>
          <w:p w14:paraId="6293DEF6"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1.159</w:t>
            </w:r>
          </w:p>
        </w:tc>
      </w:tr>
    </w:tbl>
    <w:p w14:paraId="12CE8F17" w14:textId="77777777" w:rsidR="000C43E5" w:rsidRPr="000C43E5" w:rsidRDefault="000C43E5" w:rsidP="000C43E5">
      <w:pPr>
        <w:jc w:val="both"/>
        <w:rPr>
          <w:sz w:val="24"/>
          <w:szCs w:val="24"/>
        </w:rPr>
      </w:pPr>
    </w:p>
    <w:p w14:paraId="19541A1C" w14:textId="77777777" w:rsidR="000C43E5" w:rsidRPr="000C43E5" w:rsidRDefault="000C43E5" w:rsidP="000C43E5">
      <w:pPr>
        <w:adjustRightInd w:val="0"/>
        <w:jc w:val="both"/>
        <w:rPr>
          <w:bCs/>
          <w:sz w:val="24"/>
          <w:szCs w:val="24"/>
        </w:rPr>
      </w:pPr>
      <w:r w:rsidRPr="000C43E5">
        <w:rPr>
          <w:bCs/>
          <w:sz w:val="24"/>
          <w:szCs w:val="24"/>
        </w:rPr>
        <w:lastRenderedPageBreak/>
        <w:t>In table 4 above, the tolerance numbers of each independent variable are 0.981 for ROA variables, 0.886 for current ratio variables, and 0.863 for leverage variables. Meanwhile, the VIF figure for the ROA variable is 019, the current ratio is 1,156, and the leverage is 1,159. Since the tolerance of each variable is more than 0.1 and VIF is less than 10, it can be concluded that in the regression model there is no multicollinearity problem.</w:t>
      </w:r>
    </w:p>
    <w:p w14:paraId="4079BB84" w14:textId="77777777" w:rsidR="000C43E5" w:rsidRDefault="000C43E5" w:rsidP="000C43E5">
      <w:pPr>
        <w:adjustRightInd w:val="0"/>
        <w:jc w:val="both"/>
        <w:rPr>
          <w:b/>
          <w:sz w:val="24"/>
          <w:szCs w:val="24"/>
        </w:rPr>
      </w:pPr>
    </w:p>
    <w:p w14:paraId="4A7A52DA" w14:textId="3FE49D77" w:rsidR="000C43E5" w:rsidRPr="000C43E5" w:rsidRDefault="000C43E5" w:rsidP="000C43E5">
      <w:pPr>
        <w:adjustRightInd w:val="0"/>
        <w:jc w:val="both"/>
        <w:rPr>
          <w:b/>
          <w:sz w:val="24"/>
          <w:szCs w:val="24"/>
        </w:rPr>
      </w:pPr>
      <w:r w:rsidRPr="000C43E5">
        <w:rPr>
          <w:b/>
          <w:sz w:val="24"/>
          <w:szCs w:val="24"/>
        </w:rPr>
        <w:t>Hyphoteses Test</w:t>
      </w:r>
    </w:p>
    <w:p w14:paraId="51C95541" w14:textId="77777777" w:rsidR="000C43E5" w:rsidRPr="000C43E5" w:rsidRDefault="000C43E5" w:rsidP="000C43E5">
      <w:pPr>
        <w:adjustRightInd w:val="0"/>
        <w:jc w:val="center"/>
        <w:rPr>
          <w:b/>
          <w:sz w:val="24"/>
          <w:szCs w:val="24"/>
        </w:rPr>
      </w:pPr>
      <w:r w:rsidRPr="000C43E5">
        <w:rPr>
          <w:b/>
          <w:sz w:val="24"/>
          <w:szCs w:val="24"/>
        </w:rPr>
        <w:t xml:space="preserve">Tabel  5 </w:t>
      </w:r>
      <w:r w:rsidRPr="000C43E5">
        <w:rPr>
          <w:color w:val="000000"/>
          <w:sz w:val="24"/>
          <w:szCs w:val="24"/>
        </w:rPr>
        <w:t>The Result Multiple Regression</w:t>
      </w:r>
    </w:p>
    <w:tbl>
      <w:tblPr>
        <w:tblW w:w="5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
        <w:gridCol w:w="1725"/>
        <w:gridCol w:w="709"/>
        <w:gridCol w:w="1273"/>
        <w:gridCol w:w="708"/>
        <w:gridCol w:w="764"/>
      </w:tblGrid>
      <w:tr w:rsidR="000C43E5" w:rsidRPr="000C43E5" w14:paraId="650A6D92" w14:textId="77777777" w:rsidTr="000C43E5">
        <w:trPr>
          <w:cantSplit/>
          <w:jc w:val="center"/>
        </w:trPr>
        <w:tc>
          <w:tcPr>
            <w:tcW w:w="2004" w:type="dxa"/>
            <w:gridSpan w:val="2"/>
            <w:vMerge w:val="restart"/>
            <w:shd w:val="clear" w:color="auto" w:fill="FFFFFF"/>
          </w:tcPr>
          <w:p w14:paraId="33D87335"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Model</w:t>
            </w:r>
          </w:p>
        </w:tc>
        <w:tc>
          <w:tcPr>
            <w:tcW w:w="1982" w:type="dxa"/>
            <w:gridSpan w:val="2"/>
            <w:shd w:val="clear" w:color="auto" w:fill="FFFFFF"/>
          </w:tcPr>
          <w:p w14:paraId="11C894DE"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Unstandardized Coefficients</w:t>
            </w:r>
          </w:p>
        </w:tc>
        <w:tc>
          <w:tcPr>
            <w:tcW w:w="708" w:type="dxa"/>
            <w:shd w:val="clear" w:color="auto" w:fill="FFFFFF"/>
          </w:tcPr>
          <w:p w14:paraId="5703CF9B"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t</w:t>
            </w:r>
          </w:p>
        </w:tc>
        <w:tc>
          <w:tcPr>
            <w:tcW w:w="764" w:type="dxa"/>
            <w:shd w:val="clear" w:color="auto" w:fill="FFFFFF"/>
          </w:tcPr>
          <w:p w14:paraId="484047AC"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Sig.</w:t>
            </w:r>
          </w:p>
        </w:tc>
      </w:tr>
      <w:tr w:rsidR="000C43E5" w:rsidRPr="000C43E5" w14:paraId="30254BEB" w14:textId="77777777" w:rsidTr="000C43E5">
        <w:trPr>
          <w:cantSplit/>
          <w:jc w:val="center"/>
        </w:trPr>
        <w:tc>
          <w:tcPr>
            <w:tcW w:w="2004" w:type="dxa"/>
            <w:gridSpan w:val="2"/>
            <w:vMerge/>
            <w:shd w:val="clear" w:color="auto" w:fill="FFFFFF"/>
          </w:tcPr>
          <w:p w14:paraId="5C1A5CF1" w14:textId="77777777" w:rsidR="000C43E5" w:rsidRPr="000C43E5" w:rsidRDefault="000C43E5" w:rsidP="000C43E5">
            <w:pPr>
              <w:adjustRightInd w:val="0"/>
              <w:contextualSpacing/>
              <w:rPr>
                <w:color w:val="000000"/>
                <w:sz w:val="24"/>
                <w:szCs w:val="24"/>
              </w:rPr>
            </w:pPr>
          </w:p>
        </w:tc>
        <w:tc>
          <w:tcPr>
            <w:tcW w:w="709" w:type="dxa"/>
            <w:shd w:val="clear" w:color="auto" w:fill="FFFFFF"/>
          </w:tcPr>
          <w:p w14:paraId="7A6C80C2"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B</w:t>
            </w:r>
          </w:p>
        </w:tc>
        <w:tc>
          <w:tcPr>
            <w:tcW w:w="1273" w:type="dxa"/>
            <w:shd w:val="clear" w:color="auto" w:fill="FFFFFF"/>
          </w:tcPr>
          <w:p w14:paraId="2F94924E" w14:textId="77777777" w:rsidR="000C43E5" w:rsidRPr="000C43E5" w:rsidRDefault="000C43E5" w:rsidP="000C43E5">
            <w:pPr>
              <w:adjustRightInd w:val="0"/>
              <w:ind w:left="60" w:right="60"/>
              <w:contextualSpacing/>
              <w:jc w:val="center"/>
              <w:rPr>
                <w:color w:val="000000"/>
                <w:sz w:val="24"/>
                <w:szCs w:val="24"/>
              </w:rPr>
            </w:pPr>
            <w:r w:rsidRPr="000C43E5">
              <w:rPr>
                <w:color w:val="000000"/>
                <w:sz w:val="24"/>
                <w:szCs w:val="24"/>
              </w:rPr>
              <w:t>Std. Error</w:t>
            </w:r>
          </w:p>
        </w:tc>
        <w:tc>
          <w:tcPr>
            <w:tcW w:w="708" w:type="dxa"/>
            <w:shd w:val="clear" w:color="auto" w:fill="FFFFFF"/>
          </w:tcPr>
          <w:p w14:paraId="71BD8FAD" w14:textId="77777777" w:rsidR="000C43E5" w:rsidRPr="000C43E5" w:rsidRDefault="000C43E5" w:rsidP="000C43E5">
            <w:pPr>
              <w:adjustRightInd w:val="0"/>
              <w:contextualSpacing/>
              <w:rPr>
                <w:color w:val="000000"/>
                <w:sz w:val="24"/>
                <w:szCs w:val="24"/>
              </w:rPr>
            </w:pPr>
          </w:p>
        </w:tc>
        <w:tc>
          <w:tcPr>
            <w:tcW w:w="764" w:type="dxa"/>
            <w:shd w:val="clear" w:color="auto" w:fill="FFFFFF"/>
          </w:tcPr>
          <w:p w14:paraId="103DDBC8" w14:textId="77777777" w:rsidR="000C43E5" w:rsidRPr="000C43E5" w:rsidRDefault="000C43E5" w:rsidP="000C43E5">
            <w:pPr>
              <w:adjustRightInd w:val="0"/>
              <w:contextualSpacing/>
              <w:rPr>
                <w:color w:val="000000"/>
                <w:sz w:val="24"/>
                <w:szCs w:val="24"/>
              </w:rPr>
            </w:pPr>
          </w:p>
        </w:tc>
      </w:tr>
      <w:tr w:rsidR="000C43E5" w:rsidRPr="000C43E5" w14:paraId="7AF4D40B" w14:textId="77777777" w:rsidTr="000C43E5">
        <w:trPr>
          <w:cantSplit/>
          <w:jc w:val="center"/>
        </w:trPr>
        <w:tc>
          <w:tcPr>
            <w:tcW w:w="279" w:type="dxa"/>
            <w:vMerge w:val="restart"/>
            <w:shd w:val="clear" w:color="auto" w:fill="FFFFFF"/>
            <w:vAlign w:val="center"/>
          </w:tcPr>
          <w:p w14:paraId="21DE3C0E"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1</w:t>
            </w:r>
          </w:p>
        </w:tc>
        <w:tc>
          <w:tcPr>
            <w:tcW w:w="1725" w:type="dxa"/>
            <w:shd w:val="clear" w:color="auto" w:fill="FFFFFF"/>
            <w:vAlign w:val="center"/>
          </w:tcPr>
          <w:p w14:paraId="65B2BC13"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(Constant)</w:t>
            </w:r>
          </w:p>
        </w:tc>
        <w:tc>
          <w:tcPr>
            <w:tcW w:w="709" w:type="dxa"/>
            <w:shd w:val="clear" w:color="auto" w:fill="FFFFFF"/>
            <w:vAlign w:val="center"/>
          </w:tcPr>
          <w:p w14:paraId="14E620B0"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.616</w:t>
            </w:r>
          </w:p>
        </w:tc>
        <w:tc>
          <w:tcPr>
            <w:tcW w:w="1273" w:type="dxa"/>
            <w:shd w:val="clear" w:color="auto" w:fill="FFFFFF"/>
            <w:vAlign w:val="center"/>
          </w:tcPr>
          <w:p w14:paraId="5B80B61C"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.289</w:t>
            </w:r>
          </w:p>
        </w:tc>
        <w:tc>
          <w:tcPr>
            <w:tcW w:w="708" w:type="dxa"/>
            <w:shd w:val="clear" w:color="auto" w:fill="FFFFFF"/>
            <w:vAlign w:val="center"/>
          </w:tcPr>
          <w:p w14:paraId="73D73685"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2.133</w:t>
            </w:r>
          </w:p>
        </w:tc>
        <w:tc>
          <w:tcPr>
            <w:tcW w:w="764" w:type="dxa"/>
            <w:shd w:val="clear" w:color="auto" w:fill="FFFFFF"/>
            <w:vAlign w:val="center"/>
          </w:tcPr>
          <w:p w14:paraId="2253912B"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.042</w:t>
            </w:r>
          </w:p>
        </w:tc>
      </w:tr>
      <w:tr w:rsidR="000C43E5" w:rsidRPr="000C43E5" w14:paraId="29F2B089" w14:textId="77777777" w:rsidTr="000C43E5">
        <w:trPr>
          <w:cantSplit/>
          <w:jc w:val="center"/>
        </w:trPr>
        <w:tc>
          <w:tcPr>
            <w:tcW w:w="279" w:type="dxa"/>
            <w:vMerge/>
            <w:shd w:val="clear" w:color="auto" w:fill="FFFFFF"/>
            <w:vAlign w:val="center"/>
          </w:tcPr>
          <w:p w14:paraId="1D779765" w14:textId="77777777" w:rsidR="000C43E5" w:rsidRPr="000C43E5" w:rsidRDefault="000C43E5" w:rsidP="000C43E5">
            <w:pPr>
              <w:adjustRightInd w:val="0"/>
              <w:contextualSpacing/>
              <w:rPr>
                <w:color w:val="000000"/>
                <w:sz w:val="24"/>
                <w:szCs w:val="24"/>
              </w:rPr>
            </w:pPr>
          </w:p>
        </w:tc>
        <w:tc>
          <w:tcPr>
            <w:tcW w:w="1725" w:type="dxa"/>
            <w:shd w:val="clear" w:color="auto" w:fill="FFFFFF"/>
            <w:vAlign w:val="center"/>
          </w:tcPr>
          <w:p w14:paraId="0FF7B8AA"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ROA</w:t>
            </w:r>
          </w:p>
        </w:tc>
        <w:tc>
          <w:tcPr>
            <w:tcW w:w="709" w:type="dxa"/>
            <w:shd w:val="clear" w:color="auto" w:fill="FFFFFF"/>
          </w:tcPr>
          <w:p w14:paraId="2D74035D" w14:textId="77777777" w:rsidR="000C43E5" w:rsidRPr="000C43E5" w:rsidRDefault="000C43E5" w:rsidP="000C43E5">
            <w:pPr>
              <w:adjustRightInd w:val="0"/>
              <w:ind w:left="60" w:right="60"/>
              <w:contextualSpacing/>
              <w:jc w:val="right"/>
              <w:rPr>
                <w:color w:val="000000"/>
                <w:sz w:val="24"/>
                <w:szCs w:val="24"/>
              </w:rPr>
            </w:pPr>
            <w:r w:rsidRPr="000C43E5">
              <w:rPr>
                <w:sz w:val="24"/>
                <w:szCs w:val="24"/>
              </w:rPr>
              <w:t>.368</w:t>
            </w:r>
          </w:p>
        </w:tc>
        <w:tc>
          <w:tcPr>
            <w:tcW w:w="1273" w:type="dxa"/>
            <w:shd w:val="clear" w:color="auto" w:fill="FFFFFF"/>
          </w:tcPr>
          <w:p w14:paraId="56B1C3B3" w14:textId="77777777" w:rsidR="000C43E5" w:rsidRPr="000C43E5" w:rsidRDefault="000C43E5" w:rsidP="000C43E5">
            <w:pPr>
              <w:adjustRightInd w:val="0"/>
              <w:ind w:left="60" w:right="60"/>
              <w:contextualSpacing/>
              <w:jc w:val="right"/>
              <w:rPr>
                <w:color w:val="000000"/>
                <w:sz w:val="24"/>
                <w:szCs w:val="24"/>
              </w:rPr>
            </w:pPr>
            <w:r w:rsidRPr="000C43E5">
              <w:rPr>
                <w:sz w:val="24"/>
                <w:szCs w:val="24"/>
              </w:rPr>
              <w:t>.073</w:t>
            </w:r>
          </w:p>
        </w:tc>
        <w:tc>
          <w:tcPr>
            <w:tcW w:w="708" w:type="dxa"/>
            <w:shd w:val="clear" w:color="auto" w:fill="FFFFFF"/>
          </w:tcPr>
          <w:p w14:paraId="7CAD9DB7" w14:textId="77777777" w:rsidR="000C43E5" w:rsidRPr="000C43E5" w:rsidRDefault="000C43E5" w:rsidP="000C43E5">
            <w:pPr>
              <w:adjustRightInd w:val="0"/>
              <w:ind w:left="60" w:right="60"/>
              <w:contextualSpacing/>
              <w:jc w:val="right"/>
              <w:rPr>
                <w:color w:val="000000"/>
                <w:sz w:val="24"/>
                <w:szCs w:val="24"/>
              </w:rPr>
            </w:pPr>
            <w:r w:rsidRPr="000C43E5">
              <w:rPr>
                <w:b/>
                <w:bCs/>
                <w:sz w:val="24"/>
                <w:szCs w:val="24"/>
              </w:rPr>
              <w:t>4.892</w:t>
            </w:r>
          </w:p>
        </w:tc>
        <w:tc>
          <w:tcPr>
            <w:tcW w:w="764" w:type="dxa"/>
            <w:shd w:val="clear" w:color="auto" w:fill="FFFFFF"/>
          </w:tcPr>
          <w:p w14:paraId="2B8860B4" w14:textId="77777777" w:rsidR="000C43E5" w:rsidRPr="000C43E5" w:rsidRDefault="000C43E5" w:rsidP="000C43E5">
            <w:pPr>
              <w:adjustRightInd w:val="0"/>
              <w:ind w:left="60" w:right="60"/>
              <w:contextualSpacing/>
              <w:jc w:val="right"/>
              <w:rPr>
                <w:color w:val="000000"/>
                <w:sz w:val="24"/>
                <w:szCs w:val="24"/>
              </w:rPr>
            </w:pPr>
            <w:r w:rsidRPr="000C43E5">
              <w:rPr>
                <w:b/>
                <w:bCs/>
                <w:sz w:val="24"/>
                <w:szCs w:val="24"/>
              </w:rPr>
              <w:t>.000</w:t>
            </w:r>
          </w:p>
        </w:tc>
      </w:tr>
      <w:tr w:rsidR="000C43E5" w:rsidRPr="000C43E5" w14:paraId="3273C504" w14:textId="77777777" w:rsidTr="000C43E5">
        <w:trPr>
          <w:cantSplit/>
          <w:jc w:val="center"/>
        </w:trPr>
        <w:tc>
          <w:tcPr>
            <w:tcW w:w="279" w:type="dxa"/>
            <w:vMerge/>
            <w:shd w:val="clear" w:color="auto" w:fill="FFFFFF"/>
            <w:vAlign w:val="center"/>
          </w:tcPr>
          <w:p w14:paraId="5E6B34C2" w14:textId="77777777" w:rsidR="000C43E5" w:rsidRPr="000C43E5" w:rsidRDefault="000C43E5" w:rsidP="000C43E5">
            <w:pPr>
              <w:adjustRightInd w:val="0"/>
              <w:contextualSpacing/>
              <w:rPr>
                <w:color w:val="000000"/>
                <w:sz w:val="24"/>
                <w:szCs w:val="24"/>
              </w:rPr>
            </w:pPr>
          </w:p>
        </w:tc>
        <w:tc>
          <w:tcPr>
            <w:tcW w:w="1725" w:type="dxa"/>
            <w:shd w:val="clear" w:color="auto" w:fill="FFFFFF"/>
            <w:vAlign w:val="center"/>
          </w:tcPr>
          <w:p w14:paraId="51D3F122"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Lev</w:t>
            </w:r>
          </w:p>
        </w:tc>
        <w:tc>
          <w:tcPr>
            <w:tcW w:w="709" w:type="dxa"/>
            <w:shd w:val="clear" w:color="auto" w:fill="FFFFFF"/>
            <w:vAlign w:val="center"/>
          </w:tcPr>
          <w:p w14:paraId="4AD68C74"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-1.524</w:t>
            </w:r>
          </w:p>
        </w:tc>
        <w:tc>
          <w:tcPr>
            <w:tcW w:w="1273" w:type="dxa"/>
            <w:shd w:val="clear" w:color="auto" w:fill="FFFFFF"/>
            <w:vAlign w:val="center"/>
          </w:tcPr>
          <w:p w14:paraId="23D71596"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1.363</w:t>
            </w:r>
          </w:p>
        </w:tc>
        <w:tc>
          <w:tcPr>
            <w:tcW w:w="708" w:type="dxa"/>
            <w:shd w:val="clear" w:color="auto" w:fill="FFFFFF"/>
            <w:vAlign w:val="center"/>
          </w:tcPr>
          <w:p w14:paraId="0D63CDFF"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-1.118</w:t>
            </w:r>
          </w:p>
        </w:tc>
        <w:tc>
          <w:tcPr>
            <w:tcW w:w="764" w:type="dxa"/>
            <w:shd w:val="clear" w:color="auto" w:fill="FFFFFF"/>
            <w:vAlign w:val="center"/>
          </w:tcPr>
          <w:p w14:paraId="48E27372" w14:textId="77777777" w:rsidR="000C43E5" w:rsidRPr="000C43E5" w:rsidRDefault="000C43E5" w:rsidP="000C43E5">
            <w:pPr>
              <w:adjustRightInd w:val="0"/>
              <w:ind w:left="60" w:right="60"/>
              <w:contextualSpacing/>
              <w:jc w:val="right"/>
              <w:rPr>
                <w:color w:val="000000"/>
                <w:sz w:val="24"/>
                <w:szCs w:val="24"/>
              </w:rPr>
            </w:pPr>
            <w:r w:rsidRPr="000C43E5">
              <w:rPr>
                <w:color w:val="000000"/>
                <w:sz w:val="24"/>
                <w:szCs w:val="24"/>
              </w:rPr>
              <w:t>.273</w:t>
            </w:r>
          </w:p>
        </w:tc>
      </w:tr>
      <w:tr w:rsidR="000C43E5" w:rsidRPr="000C43E5" w14:paraId="028891CC" w14:textId="77777777" w:rsidTr="000C43E5">
        <w:trPr>
          <w:cantSplit/>
          <w:jc w:val="center"/>
        </w:trPr>
        <w:tc>
          <w:tcPr>
            <w:tcW w:w="279" w:type="dxa"/>
            <w:vMerge/>
            <w:shd w:val="clear" w:color="auto" w:fill="FFFFFF"/>
            <w:vAlign w:val="center"/>
          </w:tcPr>
          <w:p w14:paraId="1E59F3CF" w14:textId="77777777" w:rsidR="000C43E5" w:rsidRPr="000C43E5" w:rsidRDefault="000C43E5" w:rsidP="000C43E5">
            <w:pPr>
              <w:adjustRightInd w:val="0"/>
              <w:contextualSpacing/>
              <w:rPr>
                <w:color w:val="000000"/>
                <w:sz w:val="24"/>
                <w:szCs w:val="24"/>
              </w:rPr>
            </w:pPr>
          </w:p>
        </w:tc>
        <w:tc>
          <w:tcPr>
            <w:tcW w:w="1725" w:type="dxa"/>
            <w:shd w:val="clear" w:color="auto" w:fill="FFFFFF"/>
            <w:vAlign w:val="center"/>
          </w:tcPr>
          <w:p w14:paraId="7BEB1F5E" w14:textId="77777777" w:rsidR="000C43E5" w:rsidRPr="000C43E5" w:rsidRDefault="000C43E5" w:rsidP="000C43E5">
            <w:pPr>
              <w:adjustRightInd w:val="0"/>
              <w:ind w:left="60" w:right="60"/>
              <w:contextualSpacing/>
              <w:rPr>
                <w:color w:val="000000"/>
                <w:sz w:val="24"/>
                <w:szCs w:val="24"/>
              </w:rPr>
            </w:pPr>
            <w:r w:rsidRPr="000C43E5">
              <w:rPr>
                <w:color w:val="000000"/>
                <w:sz w:val="24"/>
                <w:szCs w:val="24"/>
              </w:rPr>
              <w:t>CR</w:t>
            </w:r>
          </w:p>
        </w:tc>
        <w:tc>
          <w:tcPr>
            <w:tcW w:w="709" w:type="dxa"/>
            <w:shd w:val="clear" w:color="auto" w:fill="FFFFFF"/>
          </w:tcPr>
          <w:p w14:paraId="061F4AD2" w14:textId="77777777" w:rsidR="000C43E5" w:rsidRPr="000C43E5" w:rsidRDefault="000C43E5" w:rsidP="000C43E5">
            <w:pPr>
              <w:adjustRightInd w:val="0"/>
              <w:ind w:left="60" w:right="60"/>
              <w:contextualSpacing/>
              <w:jc w:val="right"/>
              <w:rPr>
                <w:color w:val="000000"/>
                <w:sz w:val="24"/>
                <w:szCs w:val="24"/>
              </w:rPr>
            </w:pPr>
            <w:r w:rsidRPr="000C43E5">
              <w:rPr>
                <w:sz w:val="24"/>
                <w:szCs w:val="24"/>
              </w:rPr>
              <w:t>-.433</w:t>
            </w:r>
          </w:p>
        </w:tc>
        <w:tc>
          <w:tcPr>
            <w:tcW w:w="1273" w:type="dxa"/>
            <w:shd w:val="clear" w:color="auto" w:fill="FFFFFF"/>
          </w:tcPr>
          <w:p w14:paraId="7985FC87" w14:textId="77777777" w:rsidR="000C43E5" w:rsidRPr="000C43E5" w:rsidRDefault="000C43E5" w:rsidP="000C43E5">
            <w:pPr>
              <w:adjustRightInd w:val="0"/>
              <w:ind w:left="60" w:right="60"/>
              <w:contextualSpacing/>
              <w:jc w:val="right"/>
              <w:rPr>
                <w:color w:val="000000"/>
                <w:sz w:val="24"/>
                <w:szCs w:val="24"/>
              </w:rPr>
            </w:pPr>
            <w:r w:rsidRPr="000C43E5">
              <w:rPr>
                <w:sz w:val="24"/>
                <w:szCs w:val="24"/>
              </w:rPr>
              <w:t>.066</w:t>
            </w:r>
          </w:p>
        </w:tc>
        <w:tc>
          <w:tcPr>
            <w:tcW w:w="708" w:type="dxa"/>
            <w:shd w:val="clear" w:color="auto" w:fill="FFFFFF"/>
          </w:tcPr>
          <w:p w14:paraId="2435C79F" w14:textId="77777777" w:rsidR="000C43E5" w:rsidRPr="000C43E5" w:rsidRDefault="000C43E5" w:rsidP="000C43E5">
            <w:pPr>
              <w:adjustRightInd w:val="0"/>
              <w:ind w:left="60" w:right="60"/>
              <w:contextualSpacing/>
              <w:jc w:val="right"/>
              <w:rPr>
                <w:color w:val="000000"/>
                <w:sz w:val="24"/>
                <w:szCs w:val="24"/>
              </w:rPr>
            </w:pPr>
            <w:r w:rsidRPr="000C43E5">
              <w:rPr>
                <w:b/>
                <w:bCs/>
                <w:sz w:val="24"/>
                <w:szCs w:val="24"/>
              </w:rPr>
              <w:t>-6.573</w:t>
            </w:r>
          </w:p>
        </w:tc>
        <w:tc>
          <w:tcPr>
            <w:tcW w:w="764" w:type="dxa"/>
            <w:shd w:val="clear" w:color="auto" w:fill="FFFFFF"/>
          </w:tcPr>
          <w:p w14:paraId="3E37ECEA" w14:textId="77777777" w:rsidR="000C43E5" w:rsidRPr="000C43E5" w:rsidRDefault="000C43E5" w:rsidP="000C43E5">
            <w:pPr>
              <w:adjustRightInd w:val="0"/>
              <w:ind w:left="60" w:right="60"/>
              <w:contextualSpacing/>
              <w:jc w:val="right"/>
              <w:rPr>
                <w:color w:val="000000"/>
                <w:sz w:val="24"/>
                <w:szCs w:val="24"/>
              </w:rPr>
            </w:pPr>
            <w:r w:rsidRPr="000C43E5">
              <w:rPr>
                <w:sz w:val="24"/>
                <w:szCs w:val="24"/>
              </w:rPr>
              <w:t>.000</w:t>
            </w:r>
          </w:p>
        </w:tc>
      </w:tr>
    </w:tbl>
    <w:p w14:paraId="79226F5E" w14:textId="77777777" w:rsidR="000C43E5" w:rsidRPr="000C43E5" w:rsidRDefault="000C43E5" w:rsidP="000C43E5">
      <w:pPr>
        <w:pStyle w:val="ListParagraph"/>
        <w:numPr>
          <w:ilvl w:val="0"/>
          <w:numId w:val="7"/>
        </w:numPr>
        <w:autoSpaceDE w:val="0"/>
        <w:autoSpaceDN w:val="0"/>
        <w:adjustRightInd w:val="0"/>
        <w:spacing w:after="0" w:line="240" w:lineRule="auto"/>
        <w:ind w:right="60" w:firstLine="1423"/>
        <w:jc w:val="left"/>
        <w:rPr>
          <w:rFonts w:ascii="Times New Roman" w:hAnsi="Times New Roman" w:cs="Times New Roman"/>
          <w:color w:val="000000"/>
          <w:sz w:val="24"/>
          <w:szCs w:val="24"/>
        </w:rPr>
      </w:pPr>
      <w:r w:rsidRPr="000C43E5">
        <w:rPr>
          <w:rFonts w:ascii="Times New Roman" w:hAnsi="Times New Roman" w:cs="Times New Roman"/>
          <w:color w:val="000000"/>
          <w:sz w:val="24"/>
          <w:szCs w:val="24"/>
        </w:rPr>
        <w:t>Dependent Variable: CETR</w:t>
      </w:r>
    </w:p>
    <w:p w14:paraId="63EA86FA" w14:textId="0CAA3791" w:rsidR="000C43E5" w:rsidRPr="000C43E5" w:rsidRDefault="000C43E5" w:rsidP="000C43E5">
      <w:pPr>
        <w:pStyle w:val="ListParagraph"/>
        <w:autoSpaceDE w:val="0"/>
        <w:autoSpaceDN w:val="0"/>
        <w:adjustRightInd w:val="0"/>
        <w:spacing w:after="0" w:line="240" w:lineRule="auto"/>
        <w:ind w:left="1843" w:right="60"/>
        <w:jc w:val="left"/>
        <w:rPr>
          <w:rFonts w:ascii="Times New Roman" w:hAnsi="Times New Roman" w:cs="Times New Roman"/>
          <w:color w:val="000000"/>
          <w:sz w:val="24"/>
          <w:szCs w:val="24"/>
        </w:rPr>
      </w:pPr>
      <w:r w:rsidRPr="000C43E5">
        <w:rPr>
          <w:rFonts w:ascii="Times New Roman" w:hAnsi="Times New Roman" w:cs="Times New Roman"/>
          <w:color w:val="000000"/>
          <w:sz w:val="24"/>
          <w:szCs w:val="24"/>
        </w:rPr>
        <w:t>R Square = 0,660</w:t>
      </w:r>
    </w:p>
    <w:p w14:paraId="3E9ACD1A" w14:textId="77777777" w:rsidR="000C43E5" w:rsidRDefault="000C43E5" w:rsidP="000C43E5">
      <w:pPr>
        <w:adjustRightInd w:val="0"/>
        <w:jc w:val="both"/>
        <w:rPr>
          <w:sz w:val="24"/>
          <w:szCs w:val="24"/>
        </w:rPr>
      </w:pPr>
    </w:p>
    <w:p w14:paraId="374913DD" w14:textId="4E2A0F53" w:rsidR="000C43E5" w:rsidRPr="000C43E5" w:rsidRDefault="000C43E5" w:rsidP="000C43E5">
      <w:pPr>
        <w:adjustRightInd w:val="0"/>
        <w:jc w:val="both"/>
        <w:rPr>
          <w:sz w:val="24"/>
          <w:szCs w:val="24"/>
        </w:rPr>
      </w:pPr>
      <w:r w:rsidRPr="000C43E5">
        <w:rPr>
          <w:sz w:val="24"/>
          <w:szCs w:val="24"/>
        </w:rPr>
        <w:t>Based on the output in table 5 above, the equations formed are:</w:t>
      </w:r>
    </w:p>
    <w:p w14:paraId="098BE679" w14:textId="77777777" w:rsidR="000C43E5" w:rsidRPr="000C43E5" w:rsidRDefault="000C43E5" w:rsidP="000C43E5">
      <w:pPr>
        <w:adjustRightInd w:val="0"/>
        <w:jc w:val="center"/>
        <w:rPr>
          <w:sz w:val="24"/>
          <w:szCs w:val="24"/>
        </w:rPr>
      </w:pPr>
      <w:r w:rsidRPr="000C43E5">
        <w:rPr>
          <w:sz w:val="24"/>
          <w:szCs w:val="24"/>
        </w:rPr>
        <w:t>Y= 0,616 + 0,368ROA – 1,524Lev - 0,433CR</w:t>
      </w:r>
    </w:p>
    <w:p w14:paraId="3AB9C3D1" w14:textId="77777777" w:rsidR="000C43E5" w:rsidRDefault="000C43E5" w:rsidP="000C43E5">
      <w:pPr>
        <w:adjustRightInd w:val="0"/>
        <w:contextualSpacing/>
        <w:jc w:val="both"/>
        <w:rPr>
          <w:sz w:val="24"/>
          <w:szCs w:val="24"/>
        </w:rPr>
      </w:pPr>
    </w:p>
    <w:p w14:paraId="35EDA50A" w14:textId="698F54EC" w:rsidR="000C43E5" w:rsidRDefault="000C43E5" w:rsidP="000C43E5">
      <w:pPr>
        <w:adjustRightInd w:val="0"/>
        <w:ind w:firstLine="567"/>
        <w:contextualSpacing/>
        <w:jc w:val="both"/>
        <w:rPr>
          <w:sz w:val="24"/>
          <w:szCs w:val="24"/>
        </w:rPr>
      </w:pPr>
      <w:r w:rsidRPr="000C43E5">
        <w:rPr>
          <w:sz w:val="24"/>
          <w:szCs w:val="24"/>
        </w:rPr>
        <w:t>The constant of 0.616 states that if the independent variable which includes ROA, leverage, and current ratio is worth 0, then the tax avoidance value is 0.616. The positive constant means that if the company does not have a ROA, leverage, or current ratio, then tax avoidance occurs at 0.616.</w:t>
      </w:r>
    </w:p>
    <w:p w14:paraId="74212A94" w14:textId="77777777" w:rsidR="000C43E5" w:rsidRDefault="000C43E5" w:rsidP="000C43E5">
      <w:pPr>
        <w:adjustRightInd w:val="0"/>
        <w:contextualSpacing/>
        <w:jc w:val="both"/>
        <w:rPr>
          <w:sz w:val="24"/>
          <w:szCs w:val="24"/>
        </w:rPr>
      </w:pPr>
    </w:p>
    <w:p w14:paraId="1E993D05" w14:textId="77777777" w:rsidR="000C43E5" w:rsidRDefault="000C43E5" w:rsidP="000C43E5">
      <w:pPr>
        <w:adjustRightInd w:val="0"/>
        <w:ind w:firstLine="567"/>
        <w:contextualSpacing/>
        <w:jc w:val="both"/>
        <w:rPr>
          <w:sz w:val="24"/>
          <w:szCs w:val="24"/>
        </w:rPr>
      </w:pPr>
      <w:r w:rsidRPr="000C43E5">
        <w:rPr>
          <w:sz w:val="24"/>
          <w:szCs w:val="24"/>
        </w:rPr>
        <w:t>The ROA variable regression coefficient of 0.368 indicates that if the ROA increases by one unit, then tax avoidance will also increase by 0.368 units.  The positive value regression coefficient symbolizes the unidirectional relationship between ROA and tax avoidance, which means that if ROA increases, then tax avoidance also increases. Similarly, if the ROA decreases, then tax avoidance also decreases.</w:t>
      </w:r>
    </w:p>
    <w:p w14:paraId="19415C9A" w14:textId="77777777" w:rsidR="000C43E5" w:rsidRDefault="000C43E5" w:rsidP="000C43E5">
      <w:pPr>
        <w:adjustRightInd w:val="0"/>
        <w:ind w:firstLine="567"/>
        <w:contextualSpacing/>
        <w:jc w:val="both"/>
        <w:rPr>
          <w:sz w:val="24"/>
          <w:szCs w:val="24"/>
        </w:rPr>
      </w:pPr>
    </w:p>
    <w:p w14:paraId="21578F06" w14:textId="77777777" w:rsidR="000C43E5" w:rsidRDefault="000C43E5" w:rsidP="000C43E5">
      <w:pPr>
        <w:adjustRightInd w:val="0"/>
        <w:ind w:firstLine="567"/>
        <w:contextualSpacing/>
        <w:jc w:val="both"/>
        <w:rPr>
          <w:sz w:val="24"/>
          <w:szCs w:val="24"/>
        </w:rPr>
      </w:pPr>
      <w:r w:rsidRPr="000C43E5">
        <w:rPr>
          <w:sz w:val="24"/>
          <w:szCs w:val="24"/>
        </w:rPr>
        <w:t>Meanwhile, the constants on the leverage and liquidity variables are negatively value -1,524 and -0.433, respectively. This shows a negative relationship between leverage and liquidity with tax avoidance. The higher the leverage and liquidity, the lower the tax avoidance.</w:t>
      </w:r>
    </w:p>
    <w:p w14:paraId="268AF763" w14:textId="021CAE4E" w:rsidR="000C43E5" w:rsidRPr="000C43E5" w:rsidRDefault="000C43E5" w:rsidP="000C43E5">
      <w:pPr>
        <w:adjustRightInd w:val="0"/>
        <w:ind w:firstLine="567"/>
        <w:contextualSpacing/>
        <w:jc w:val="both"/>
        <w:rPr>
          <w:sz w:val="24"/>
          <w:szCs w:val="24"/>
        </w:rPr>
      </w:pPr>
      <w:r w:rsidRPr="000C43E5">
        <w:rPr>
          <w:sz w:val="24"/>
          <w:szCs w:val="24"/>
        </w:rPr>
        <w:t>From the output of the summary table, it can be known that the value of R2 (Adj R square) is 0.660. This indicates that the contribution of influence from independent variables, namely ROA, leverage, and current ratio of 66%. The remaining 34% were influenced by other factors not studied in the study.</w:t>
      </w:r>
    </w:p>
    <w:p w14:paraId="7ABF67EE" w14:textId="77777777" w:rsidR="000C43E5" w:rsidRPr="000C43E5" w:rsidRDefault="000C43E5" w:rsidP="000C43E5">
      <w:pPr>
        <w:adjustRightInd w:val="0"/>
        <w:rPr>
          <w:b/>
          <w:bCs/>
          <w:sz w:val="24"/>
          <w:szCs w:val="24"/>
        </w:rPr>
      </w:pPr>
    </w:p>
    <w:p w14:paraId="3C415FF1" w14:textId="01F12FEF" w:rsidR="000C43E5" w:rsidRPr="000C43E5" w:rsidRDefault="000C43E5" w:rsidP="000C43E5">
      <w:pPr>
        <w:adjustRightInd w:val="0"/>
        <w:rPr>
          <w:b/>
          <w:bCs/>
          <w:sz w:val="24"/>
          <w:szCs w:val="24"/>
        </w:rPr>
      </w:pPr>
      <w:r w:rsidRPr="000C43E5">
        <w:rPr>
          <w:b/>
          <w:bCs/>
          <w:sz w:val="24"/>
          <w:szCs w:val="24"/>
          <w:lang w:val="en-US"/>
        </w:rPr>
        <w:t xml:space="preserve">The Effect of </w:t>
      </w:r>
      <w:r w:rsidRPr="000C43E5">
        <w:rPr>
          <w:b/>
          <w:bCs/>
          <w:sz w:val="24"/>
          <w:szCs w:val="24"/>
        </w:rPr>
        <w:t>Profitability on tax avoidance</w:t>
      </w:r>
    </w:p>
    <w:p w14:paraId="330A6543" w14:textId="77777777" w:rsidR="000C43E5" w:rsidRPr="000C43E5" w:rsidRDefault="000C43E5" w:rsidP="000C43E5">
      <w:pPr>
        <w:adjustRightInd w:val="0"/>
        <w:ind w:firstLine="567"/>
        <w:jc w:val="both"/>
        <w:rPr>
          <w:sz w:val="24"/>
          <w:szCs w:val="24"/>
        </w:rPr>
      </w:pPr>
      <w:r w:rsidRPr="000C43E5">
        <w:rPr>
          <w:color w:val="000000"/>
          <w:sz w:val="24"/>
          <w:szCs w:val="24"/>
        </w:rPr>
        <w:t xml:space="preserve">The test result showed a number of </w:t>
      </w:r>
      <w:r w:rsidRPr="000C43E5">
        <w:rPr>
          <w:sz w:val="24"/>
          <w:szCs w:val="24"/>
        </w:rPr>
        <w:t>4.892</w:t>
      </w:r>
      <w:r w:rsidRPr="000C43E5">
        <w:rPr>
          <w:color w:val="000000"/>
          <w:sz w:val="24"/>
          <w:szCs w:val="24"/>
        </w:rPr>
        <w:t>. This figure is higher than the table t of 1,9864. The significance value indicates a number less than 0.05 which is 0.000. Thus, it can be concluded to reject H0 and accept H1, i.e. there is positive affect profitability on tax avoidance</w:t>
      </w:r>
      <w:r w:rsidRPr="000C43E5">
        <w:rPr>
          <w:sz w:val="24"/>
          <w:szCs w:val="24"/>
        </w:rPr>
        <w:t>.</w:t>
      </w:r>
      <w:r w:rsidRPr="000C43E5">
        <w:rPr>
          <w:color w:val="000000"/>
          <w:sz w:val="24"/>
          <w:szCs w:val="24"/>
        </w:rPr>
        <w:t xml:space="preserve"> </w:t>
      </w:r>
      <w:r w:rsidRPr="000C43E5">
        <w:rPr>
          <w:sz w:val="24"/>
          <w:szCs w:val="24"/>
        </w:rPr>
        <w:t xml:space="preserve">The results of this study support some previous studies those </w:t>
      </w:r>
      <w:r w:rsidRPr="000C43E5">
        <w:rPr>
          <w:sz w:val="24"/>
          <w:szCs w:val="24"/>
        </w:rPr>
        <w:fldChar w:fldCharType="begin" w:fldLock="1"/>
      </w:r>
      <w:r w:rsidRPr="000C43E5">
        <w:rPr>
          <w:sz w:val="24"/>
          <w:szCs w:val="24"/>
        </w:rPr>
        <w:instrText>ADDIN CSL_CITATION {"citationItems":[{"id":"ITEM-1","itemData":{"abstract":"This study aimed to examine the effect of business strategy and corporate characteristics on tax avoidance. The theory used in this research is agency theory. This research using manufacturing company during 2012-2016 as a sample, and based on purposive sampling method was obtained 12 companies. Variable business strategy use 2 strategies by companies is defender and prospector measured using variable dummy. Corporate characteristics used in this study is the profitability measured by the ratio of ROA, leverage, and size. The dependent variable using CETR proxy. The data in this research was processed using SPSS with multiple linear regression method. This research shows that the profitability and size have a significant influence to the tax avoidance. Based on the test results, obtained a significance value of 0,010 and 0,037. Business strategies and leverage do not have influence to the tax avoidance.","author":[{"dropping-particle":"","family":"Wardani","given":"Dewi Kusuma","non-dropping-particle":"","parse-names":false,"suffix":""},{"dropping-particle":"","family":"Khoiriyah","given":"Desi","non-dropping-particle":"","parse-names":false,"suffix":""}],"container-title":"Akuntansi Dewantara","id":"ITEM-1","issue":"1","issued":{"date-parts":[["2018"]]},"page":"25-36","title":"Pengaruh strategi bisnis dan karakteristik perusahaan terhadap penghindaran pajak","type":"article-journal","volume":"2"},"uris":["http://www.mendeley.com/documents/?uuid=9852ecf8-e062-4d79-866b-d7f0d8b79257"]}],"mendeley":{"formattedCitation":"(Wardani &amp; Khoiriyah, 2018)","manualFormatting":"Wardani &amp; Khoiriyah (2018)","plainTextFormattedCitation":"(Wardani &amp; Khoiriyah, 2018)","previouslyFormattedCitation":"(Wardani &amp; Khoiriyah, 2018)"},"properties":{"noteIndex":0},"schema":"https://github.com/citation-style-language/schema/raw/master/csl-citation.json"}</w:instrText>
      </w:r>
      <w:r w:rsidRPr="000C43E5">
        <w:rPr>
          <w:sz w:val="24"/>
          <w:szCs w:val="24"/>
        </w:rPr>
        <w:fldChar w:fldCharType="separate"/>
      </w:r>
      <w:r w:rsidRPr="000C43E5">
        <w:rPr>
          <w:noProof/>
          <w:sz w:val="24"/>
          <w:szCs w:val="24"/>
        </w:rPr>
        <w:t>Wardani &amp; Khoiriyah (2018)</w:t>
      </w:r>
      <w:r w:rsidRPr="000C43E5">
        <w:rPr>
          <w:sz w:val="24"/>
          <w:szCs w:val="24"/>
        </w:rPr>
        <w:fldChar w:fldCharType="end"/>
      </w:r>
      <w:r w:rsidRPr="000C43E5">
        <w:rPr>
          <w:sz w:val="24"/>
          <w:szCs w:val="24"/>
        </w:rPr>
        <w:t xml:space="preserve">; </w:t>
      </w:r>
      <w:r w:rsidRPr="000C43E5">
        <w:rPr>
          <w:sz w:val="24"/>
          <w:szCs w:val="24"/>
        </w:rPr>
        <w:fldChar w:fldCharType="begin" w:fldLock="1"/>
      </w:r>
      <w:r w:rsidRPr="000C43E5">
        <w:rPr>
          <w:sz w:val="24"/>
          <w:szCs w:val="24"/>
        </w:rPr>
        <w:instrText>ADDIN CSL_CITATION {"citationItems":[{"id":"ITEM-1","itemData":{"ISSN":"2302-8556","abstract":"Reliable field methods for the storage of tissues to be used for DNA extraction and amplification are critical to many studies employing molecular techniques. Protection from DNA degradation was compared among three commonly used methods of noncryogenic storage of tissues ...","author":[{"dropping-particle":"","family":"Darmawan","given":"I","non-dropping-particle":"","parse-names":false,"suffix":""},{"dropping-particle":"","family":"Sukartha","given":"I","non-dropping-particle":"","parse-names":false,"suffix":""}],"container-title":"E-Jurnal Akuntansi","id":"ITEM-1","issue":"1","issued":{"date-parts":[["2014"]]},"page":"143-161","title":"Pengaruh Penerapan Corporate Governance, Leverage, Roa, Dan Ukuran Perusahaan Pada Penghindaran Pajak","type":"article-journal","volume":"9"},"uris":["http://www.mendeley.com/documents/?uuid=dc8705dc-0a32-44f2-ab1e-fe694eb504ce"]}],"mendeley":{"formattedCitation":"(Darmawan &amp; Sukartha, 2014)","manualFormatting":"Darmawan &amp; Sukartha (2014)","plainTextFormattedCitation":"(Darmawan &amp; Sukartha, 2014)","previouslyFormattedCitation":"(Darmawan &amp; Sukartha, 2014)"},"properties":{"noteIndex":0},"schema":"https://github.com/citation-style-language/schema/raw/master/csl-citation.json"}</w:instrText>
      </w:r>
      <w:r w:rsidRPr="000C43E5">
        <w:rPr>
          <w:sz w:val="24"/>
          <w:szCs w:val="24"/>
        </w:rPr>
        <w:fldChar w:fldCharType="separate"/>
      </w:r>
      <w:r w:rsidRPr="000C43E5">
        <w:rPr>
          <w:noProof/>
          <w:sz w:val="24"/>
          <w:szCs w:val="24"/>
        </w:rPr>
        <w:t>Darmawan &amp; Sukartha (2014)</w:t>
      </w:r>
      <w:r w:rsidRPr="000C43E5">
        <w:rPr>
          <w:sz w:val="24"/>
          <w:szCs w:val="24"/>
        </w:rPr>
        <w:fldChar w:fldCharType="end"/>
      </w:r>
      <w:r w:rsidRPr="000C43E5">
        <w:rPr>
          <w:sz w:val="24"/>
          <w:szCs w:val="24"/>
        </w:rPr>
        <w:t xml:space="preserve">; and </w:t>
      </w:r>
      <w:r w:rsidRPr="000C43E5">
        <w:rPr>
          <w:sz w:val="24"/>
          <w:szCs w:val="24"/>
        </w:rPr>
        <w:fldChar w:fldCharType="begin" w:fldLock="1"/>
      </w:r>
      <w:r w:rsidRPr="000C43E5">
        <w:rPr>
          <w:sz w:val="24"/>
          <w:szCs w:val="24"/>
        </w:rPr>
        <w:instrText>ADDIN CSL_CITATION {"citationItems":[{"id":"ITEM-1","itemData":{"DOI":"10.15640/ijat.v5n2a3","ISSN":"23724978","abstract":"Penelitian ini bertujuan untuk menguji pengaruh leverage, kepemilikan institusional, komite audit, pertumbuhan penjualan, profitabilitas dan ukuran perusahaan pada penghindaran pajak. Penelitian ini dilakukan di Indonesia dengan menggunakan perusahaan manufaktur unit analisis yang telah go public. Populasi penelitian ini adalah perusahaan manufaktur yang terdaftar di Bursa Efek Indonesia. Metode pengambilan sampel menggunakan purposive sampling dengan masa studi 2014 hingga 2017 dan diperoleh sebanyak 127 perusahaan. Teknik analisis data menggunakan analisis regresi berganda. Hasil penelitian ini menunjukkan bahwa leverage, Kepemilikan Institusional dan Komite Audit positif tidak signifikan pada Penghindaran Pajak. Pertumbuhan Penjualan negatif tidak signifikan pada Penghindaran Pajak. Profitabilitas positif signifikan terhadap Penghindaran Pajak. Ukuran Perusahaan negatif signifikan pada Penghindaran Pajak.","author":[{"dropping-particle":"","family":"Kurniasih","given":"Tommy","non-dropping-particle":"","parse-names":false,"suffix":""},{"dropping-particle":"","family":"Sari","given":"Maria M Ratna","non-dropping-particle":"","parse-names":false,"suffix":""}],"container-title":"International Journal of Accounting and Taxation","id":"ITEM-1","issue":"2","issued":{"date-parts":[["2017"]]},"page":"58-66","title":"The Influence of Profitability, Leverage, Firm Size and Capital Intensity Towards Tax Avoidance","type":"article-journal","volume":"5"},"uris":["http://www.mendeley.com/documents/?uuid=6a9c7b5f-32ed-439e-b265-e291a1c39719"]}],"mendeley":{"formattedCitation":"(Kurniasih &amp; Sari, 2017)","manualFormatting":"Kurniasih &amp; Sari (2017)","plainTextFormattedCitation":"(Kurniasih &amp; Sari, 2017)","previouslyFormattedCitation":"(Kurniasih &amp; Sari, 2017)"},"properties":{"noteIndex":0},"schema":"https://github.com/citation-style-language/schema/raw/master/csl-citation.json"}</w:instrText>
      </w:r>
      <w:r w:rsidRPr="000C43E5">
        <w:rPr>
          <w:sz w:val="24"/>
          <w:szCs w:val="24"/>
        </w:rPr>
        <w:fldChar w:fldCharType="separate"/>
      </w:r>
      <w:r w:rsidRPr="000C43E5">
        <w:rPr>
          <w:noProof/>
          <w:sz w:val="24"/>
          <w:szCs w:val="24"/>
        </w:rPr>
        <w:t>Kurniasih &amp; Sari (2017)</w:t>
      </w:r>
      <w:r w:rsidRPr="000C43E5">
        <w:rPr>
          <w:sz w:val="24"/>
          <w:szCs w:val="24"/>
        </w:rPr>
        <w:fldChar w:fldCharType="end"/>
      </w:r>
      <w:r w:rsidRPr="000C43E5">
        <w:rPr>
          <w:sz w:val="24"/>
          <w:szCs w:val="24"/>
        </w:rPr>
        <w:t xml:space="preserve">. </w:t>
      </w:r>
    </w:p>
    <w:p w14:paraId="28937CB7" w14:textId="77777777" w:rsidR="000C43E5" w:rsidRPr="000C43E5" w:rsidRDefault="000C43E5" w:rsidP="000C43E5">
      <w:pPr>
        <w:adjustRightInd w:val="0"/>
        <w:ind w:right="60"/>
        <w:contextualSpacing/>
        <w:rPr>
          <w:b/>
          <w:bCs/>
          <w:color w:val="000000"/>
          <w:sz w:val="24"/>
          <w:szCs w:val="24"/>
        </w:rPr>
      </w:pPr>
    </w:p>
    <w:p w14:paraId="30DB8479" w14:textId="284DC8B7" w:rsidR="000C43E5" w:rsidRPr="000C43E5" w:rsidRDefault="000C43E5" w:rsidP="000C43E5">
      <w:pPr>
        <w:adjustRightInd w:val="0"/>
        <w:ind w:right="60"/>
        <w:contextualSpacing/>
        <w:rPr>
          <w:b/>
          <w:bCs/>
          <w:color w:val="000000"/>
          <w:sz w:val="24"/>
          <w:szCs w:val="24"/>
        </w:rPr>
      </w:pPr>
      <w:r w:rsidRPr="000C43E5">
        <w:rPr>
          <w:b/>
          <w:bCs/>
          <w:color w:val="000000"/>
          <w:sz w:val="24"/>
          <w:szCs w:val="24"/>
          <w:lang w:val="en-US"/>
        </w:rPr>
        <w:t xml:space="preserve">The Effect </w:t>
      </w:r>
      <w:r w:rsidRPr="000C43E5">
        <w:rPr>
          <w:b/>
          <w:bCs/>
          <w:color w:val="000000"/>
          <w:sz w:val="24"/>
          <w:szCs w:val="24"/>
        </w:rPr>
        <w:t>Leverage on tax avoidance</w:t>
      </w:r>
    </w:p>
    <w:p w14:paraId="7075D438" w14:textId="77777777" w:rsidR="000C43E5" w:rsidRPr="000C43E5" w:rsidRDefault="000C43E5" w:rsidP="000C43E5">
      <w:pPr>
        <w:adjustRightInd w:val="0"/>
        <w:ind w:left="60" w:right="60" w:firstLine="507"/>
        <w:contextualSpacing/>
        <w:jc w:val="both"/>
        <w:rPr>
          <w:color w:val="000000"/>
          <w:sz w:val="24"/>
          <w:szCs w:val="24"/>
        </w:rPr>
      </w:pPr>
      <w:r w:rsidRPr="000C43E5">
        <w:rPr>
          <w:color w:val="000000"/>
          <w:sz w:val="24"/>
          <w:szCs w:val="24"/>
        </w:rPr>
        <w:lastRenderedPageBreak/>
        <w:t xml:space="preserve">The t test result showed a figure of  -1,118. This figure is lower than the t table  of 1,9864. The significance value also indicates a number greater than 0.05 which is 0.273. Thus, it can be concluded to reject H2 and accept H0 , i.e. there is no positive affect leverage on tax avoidance. These results are in accordance with the results of the study </w:t>
      </w:r>
      <w:r w:rsidRPr="000C43E5">
        <w:rPr>
          <w:color w:val="000000"/>
          <w:sz w:val="24"/>
          <w:szCs w:val="24"/>
        </w:rPr>
        <w:fldChar w:fldCharType="begin" w:fldLock="1"/>
      </w:r>
      <w:r w:rsidRPr="000C43E5">
        <w:rPr>
          <w:color w:val="000000"/>
          <w:sz w:val="24"/>
          <w:szCs w:val="24"/>
        </w:rPr>
        <w:instrText>ADDIN CSL_CITATION {"citationItems":[{"id":"ITEM-1","itemData":{"DOI":"10.30596/jrab.v20i1.4755","ISSN":"16937597","abstract":"penelitian ini bertujuan untuk mengetahui seberapa besar likuiditas dan leverage berpengaruh terhadap penghindaraan pajak pada perusahaan pada perusahaan sub sektor makanan dan minuman yang di BEI. Metode yang digunakan dalam penelitian ini adalah deskriptif kuantitatif yakni penelitian yang berupaya untuk mengkaji dan menjelaskan bagaimana suatu variabel independen mempengaruhi variabel dependen. Populasi Populasi dan sampel dalam penelitian ini perusahaan makanan dan minuman sebanyak 12 perusahaan tetapi ada 2 perusahaan yang terdaftar sejak tahun 2017 tidak menerbitkan laporan keuangan. periode 4 tahun pengamatan dari tahun 2016-2019 dengan menggunakan laporan keuangan tahunan, sehingga total sampel sebanyak 40 pengamatan pengumpulan data pada penelitian ini yaitu dengan menggunakan data dokumentasi dengan jenis dan sumber data kuantitatif yang di peroleh dari www.idx.co.id. Teknik analisis data yang digunakan yaitu analisis regresi linier berganda Berdasarkan hasil pengujian menunjukan bahwa Likuiditas berpengaruh terhadap Penghindaran Pajak, Levarage berpengaruh terhadap penghindaran pajak. Tetapi secara simultan Likuiditas dan Levarage berpengaruh terhadap penghindaran pajak.","author":[{"dropping-particle":"","family":"Abdullah","given":"Ikhsan","non-dropping-particle":"","parse-names":false,"suffix":""}],"container-title":"Jurnal Riset Akuntansi dan Bisnis","id":"ITEM-1","issue":"1","issued":{"date-parts":[["2020"]]},"page":"16-22","title":"Pengaruh Likuiditas Dan Leverage Terhadap Penghindaran Pajak Pada Perusahaan Makanan Dan Minuman","type":"article-journal","volume":"20"},"uris":["http://www.mendeley.com/documents/?uuid=6961534c-4f5e-4dd7-ac9c-7479781af96b"]}],"mendeley":{"formattedCitation":"(Abdullah, 2020)","manualFormatting":"Abdullah (2020)","plainTextFormattedCitation":"(Abdullah, 2020)","previouslyFormattedCitation":"(Abdullah, 2020)"},"properties":{"noteIndex":0},"schema":"https://github.com/citation-style-language/schema/raw/master/csl-citation.json"}</w:instrText>
      </w:r>
      <w:r w:rsidRPr="000C43E5">
        <w:rPr>
          <w:color w:val="000000"/>
          <w:sz w:val="24"/>
          <w:szCs w:val="24"/>
        </w:rPr>
        <w:fldChar w:fldCharType="separate"/>
      </w:r>
      <w:r w:rsidRPr="000C43E5">
        <w:rPr>
          <w:noProof/>
          <w:color w:val="000000"/>
          <w:sz w:val="24"/>
          <w:szCs w:val="24"/>
        </w:rPr>
        <w:t>Abdullah (2020)</w:t>
      </w:r>
      <w:r w:rsidRPr="000C43E5">
        <w:rPr>
          <w:color w:val="000000"/>
          <w:sz w:val="24"/>
          <w:szCs w:val="24"/>
        </w:rPr>
        <w:fldChar w:fldCharType="end"/>
      </w:r>
      <w:r w:rsidRPr="000C43E5">
        <w:rPr>
          <w:color w:val="000000"/>
          <w:sz w:val="24"/>
          <w:szCs w:val="24"/>
        </w:rPr>
        <w:t xml:space="preserve">; </w:t>
      </w:r>
      <w:r w:rsidRPr="000C43E5">
        <w:rPr>
          <w:color w:val="000000"/>
          <w:sz w:val="24"/>
          <w:szCs w:val="24"/>
        </w:rPr>
        <w:fldChar w:fldCharType="begin" w:fldLock="1"/>
      </w:r>
      <w:r w:rsidRPr="000C43E5">
        <w:rPr>
          <w:color w:val="000000"/>
          <w:sz w:val="24"/>
          <w:szCs w:val="24"/>
        </w:rPr>
        <w:instrText>ADDIN CSL_CITATION {"citationItems":[{"id":"ITEM-1","itemData":{"DOI":"10.24843/EJA.2017.v21.i02.p01","ISSN":"2302-8556","abstract":"Pajak merupakan sektor yang memegang peranan penting dalam perekonomian, karena dalam pos penerimaan Anggaran Pendapatan dan Belanja Negara (APBN) sumbangan pajak memiliki porsi yang lebih besar dibandingkan dengan sumber penerimaan lain (non pajak). Penerimaan pajak di Indonesia belum maksimal, padahal Indonesia memiliki potensi penerimaan pajak yang tinggi dikarenakan besarnya jumlah penduduk dan kegiatan usaha. Penghindaran pajak merupakan rangkaian aktivitas perencanaan pajak. Penghindaran pajak dapat dikatakan sebagai mengurangi pajak dengan mengikuti peraturan yang ada. Persoalanpenghindaran pajak rumit dan unik, di satu sisi penghindaran pajak diperbolehkan, tapi di sisi lain penghindaran pajak tidak diinginkan. Penelitian ini bertujuan untuk mengetahui pengaruh ukuran perusahaan, leverage,profitabilitas dan corporate social responsibility pada penghindaran pajak. Penghindaran pajak dalam penelitian ini diproksi dengan nilai CETR. Data yang digunakan adalah data sekunder. Populasi dari penelitian ini adalah Bursa Efek Indonesia (BEI) selama periode 2013-2015. Metode penentuan sampel dari penelitian ini adalah denganpurposive sampling sesuai dengan kriteria yang telah ditentukan dan diperoleh sampel sebanyak 36 perusahaan. Teknik analisis yang digunakan adalah regresi linear berganda. Berdasarkan hasil pengujian analisis regresi linear berganda, penelitian menujukkan bahwa ukuran perusahaan, leveragedan pengungkapan corporate social responsibilityberpengaruh negatif dan signifikan pada penghindaran pajak, sedangkan profitabilitas berpengaruh positif dan signifikan pada penghindaran pajak.","author":[{"dropping-particle":"","family":"Luh","given":"Ni","non-dropping-particle":"","parse-names":false,"suffix":""},{"dropping-particle":"","family":"Puspita","given":"Putu","non-dropping-particle":"","parse-names":false,"suffix":""}],"container-title":"E-Jurnal Akuntansi","id":"ITEM-1","issue":"2","issued":{"date-parts":[["2017"]]},"page":"882-911","title":"Pengaruh Ukuran Perusahaan, Leverage, Profitabilitas dan Corporate Social Responsibility Terhadap Penghindaran Pajak (Tax Avoidance)","type":"article-journal","volume":"21"},"uris":["http://www.mendeley.com/documents/?uuid=54d72249-8b6d-41b5-b9a3-5521741bc28d"]}],"mendeley":{"formattedCitation":"(Luh &amp; Puspita, 2017)","manualFormatting":"Luh &amp; Puspita (2017)","plainTextFormattedCitation":"(Luh &amp; Puspita, 2017)","previouslyFormattedCitation":"(Luh &amp; Puspita, 2017)"},"properties":{"noteIndex":0},"schema":"https://github.com/citation-style-language/schema/raw/master/csl-citation.json"}</w:instrText>
      </w:r>
      <w:r w:rsidRPr="000C43E5">
        <w:rPr>
          <w:color w:val="000000"/>
          <w:sz w:val="24"/>
          <w:szCs w:val="24"/>
        </w:rPr>
        <w:fldChar w:fldCharType="separate"/>
      </w:r>
      <w:r w:rsidRPr="000C43E5">
        <w:rPr>
          <w:noProof/>
          <w:color w:val="000000"/>
          <w:sz w:val="24"/>
          <w:szCs w:val="24"/>
        </w:rPr>
        <w:t>Luh &amp; Puspita (2017)</w:t>
      </w:r>
      <w:r w:rsidRPr="000C43E5">
        <w:rPr>
          <w:color w:val="000000"/>
          <w:sz w:val="24"/>
          <w:szCs w:val="24"/>
        </w:rPr>
        <w:fldChar w:fldCharType="end"/>
      </w:r>
      <w:r w:rsidRPr="000C43E5">
        <w:rPr>
          <w:color w:val="000000"/>
          <w:sz w:val="24"/>
          <w:szCs w:val="24"/>
        </w:rPr>
        <w:t xml:space="preserve">; </w:t>
      </w:r>
      <w:r w:rsidRPr="000C43E5">
        <w:rPr>
          <w:color w:val="000000"/>
          <w:sz w:val="24"/>
          <w:szCs w:val="24"/>
        </w:rPr>
        <w:fldChar w:fldCharType="begin" w:fldLock="1"/>
      </w:r>
      <w:r w:rsidRPr="000C43E5">
        <w:rPr>
          <w:color w:val="000000"/>
          <w:sz w:val="24"/>
          <w:szCs w:val="24"/>
        </w:rPr>
        <w:instrText>ADDIN CSL_CITATION {"citationItems":[{"id":"ITEM-1","itemData":{"DOI":"10.22219/jrak.v7i2.15","ISSN":"2088-0685","abstract":"This study examines the effect of Growth, ROA, Leverage, Cashflow nagatif and size on taxavoidance. The testing was held 82 samples. The data obtained from the company’s annualreport website Indonesian Stock Exchange during the period 2016 and analyzed using MultipleRegresion. The research finding show that ROA negatively affect of tax evaoidance. Other findings indicate leverage positive effect on tax evoidance. ROA is a financial pressure for the company when profitability performance becomes the target that must be achieved and the researchresults show the negative direction, it can be stated that the sample company is not in a state offinancial pressure because the average ROA is lower than the interest rate on deposit. Meanwhile, leverage shows a positive influence on tax evasion. This proves that the sample companies aggressively increased the use of external funding so as to increase tax avoidance.Key words: financial pressure, tax evoidance, triangle fraud theory","author":[{"dropping-particle":"","family":"Suprapti","given":"Eny","non-dropping-particle":"","parse-names":false,"suffix":""}],"container-title":"Jurnal Reviu Akuntansi dan Keuangan","id":"ITEM-1","issue":"2","issued":{"date-parts":[["2017"]]},"page":"1013","title":"Pengaruh Tekanan Keuangan Terhadap Penghindaran Pajak","type":"article-journal","volume":"7"},"uris":["http://www.mendeley.com/documents/?uuid=443e5a9c-b45a-4403-8289-8feb68de99a1"]}],"mendeley":{"formattedCitation":"(Suprapti, 2017)","manualFormatting":"Suprapti (2017)","plainTextFormattedCitation":"(Suprapti, 2017)"},"properties":{"noteIndex":0},"schema":"https://github.com/citation-style-language/schema/raw/master/csl-citation.json"}</w:instrText>
      </w:r>
      <w:r w:rsidRPr="000C43E5">
        <w:rPr>
          <w:color w:val="000000"/>
          <w:sz w:val="24"/>
          <w:szCs w:val="24"/>
        </w:rPr>
        <w:fldChar w:fldCharType="separate"/>
      </w:r>
      <w:r w:rsidRPr="000C43E5">
        <w:rPr>
          <w:noProof/>
          <w:color w:val="000000"/>
          <w:sz w:val="24"/>
          <w:szCs w:val="24"/>
        </w:rPr>
        <w:t>Suprapti (2017)</w:t>
      </w:r>
      <w:r w:rsidRPr="000C43E5">
        <w:rPr>
          <w:color w:val="000000"/>
          <w:sz w:val="24"/>
          <w:szCs w:val="24"/>
        </w:rPr>
        <w:fldChar w:fldCharType="end"/>
      </w:r>
      <w:r w:rsidRPr="000C43E5">
        <w:rPr>
          <w:color w:val="000000"/>
          <w:sz w:val="24"/>
          <w:szCs w:val="24"/>
        </w:rPr>
        <w:t>.</w:t>
      </w:r>
    </w:p>
    <w:p w14:paraId="735B665F" w14:textId="77777777" w:rsidR="000C43E5" w:rsidRPr="000C43E5" w:rsidRDefault="000C43E5" w:rsidP="000C43E5">
      <w:pPr>
        <w:adjustRightInd w:val="0"/>
        <w:ind w:left="60" w:right="60"/>
        <w:contextualSpacing/>
        <w:jc w:val="both"/>
        <w:rPr>
          <w:color w:val="000000"/>
          <w:sz w:val="24"/>
          <w:szCs w:val="24"/>
        </w:rPr>
      </w:pPr>
    </w:p>
    <w:p w14:paraId="1473386F" w14:textId="2782EFCA" w:rsidR="000C43E5" w:rsidRPr="000C43E5" w:rsidRDefault="000C43E5" w:rsidP="000C43E5">
      <w:pPr>
        <w:adjustRightInd w:val="0"/>
        <w:jc w:val="both"/>
        <w:rPr>
          <w:b/>
          <w:bCs/>
          <w:sz w:val="24"/>
          <w:szCs w:val="24"/>
        </w:rPr>
      </w:pPr>
      <w:r>
        <w:rPr>
          <w:b/>
          <w:bCs/>
          <w:color w:val="000000"/>
          <w:sz w:val="24"/>
          <w:szCs w:val="24"/>
          <w:lang w:val="en-US"/>
        </w:rPr>
        <w:t xml:space="preserve">The Effect </w:t>
      </w:r>
      <w:r w:rsidRPr="000C43E5">
        <w:rPr>
          <w:b/>
          <w:bCs/>
          <w:color w:val="000000"/>
          <w:sz w:val="24"/>
          <w:szCs w:val="24"/>
        </w:rPr>
        <w:t>Liquidity on tax avoidance</w:t>
      </w:r>
    </w:p>
    <w:p w14:paraId="2348BFC9" w14:textId="77777777" w:rsidR="000C43E5" w:rsidRPr="000C43E5" w:rsidRDefault="000C43E5" w:rsidP="000C43E5">
      <w:pPr>
        <w:adjustRightInd w:val="0"/>
        <w:ind w:left="60" w:right="60"/>
        <w:contextualSpacing/>
        <w:jc w:val="both"/>
        <w:rPr>
          <w:color w:val="000000"/>
          <w:sz w:val="24"/>
          <w:szCs w:val="24"/>
        </w:rPr>
      </w:pPr>
      <w:r w:rsidRPr="000C43E5">
        <w:rPr>
          <w:color w:val="000000"/>
          <w:sz w:val="24"/>
          <w:szCs w:val="24"/>
        </w:rPr>
        <w:t>T test results showed a number of -</w:t>
      </w:r>
      <w:r w:rsidRPr="000C43E5">
        <w:rPr>
          <w:b/>
          <w:bCs/>
          <w:sz w:val="24"/>
          <w:szCs w:val="24"/>
        </w:rPr>
        <w:t>6.573</w:t>
      </w:r>
      <w:r w:rsidRPr="000C43E5">
        <w:rPr>
          <w:color w:val="000000"/>
          <w:sz w:val="24"/>
          <w:szCs w:val="24"/>
        </w:rPr>
        <w:t xml:space="preserve">. This figure is higher than the t table of 1,9864. The significance value also indicates a number lower than 0.05 which is 0,000. Thus, it can be concluded to reject H0 and accept H3, i.e. there is positive affect  liquidity on tax avoidance. These results are in accordance with the results of the study </w:t>
      </w:r>
      <w:r w:rsidRPr="000C43E5">
        <w:rPr>
          <w:color w:val="000000"/>
          <w:sz w:val="24"/>
          <w:szCs w:val="24"/>
        </w:rPr>
        <w:fldChar w:fldCharType="begin" w:fldLock="1"/>
      </w:r>
      <w:r w:rsidRPr="000C43E5">
        <w:rPr>
          <w:color w:val="000000"/>
          <w:sz w:val="24"/>
          <w:szCs w:val="24"/>
        </w:rPr>
        <w:instrText>ADDIN CSL_CITATION {"citationItems":[{"id":"ITEM-1","itemData":{"ISSN":"2302-8556","abstract":"Penelitian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 Kata","author":[{"dropping-particle":"","family":"Dewinta","given":"Ida","non-dropping-particle":"","parse-names":false,"suffix":""},{"dropping-particle":"","family":"Setiawan","given":"Putu","non-dropping-particle":"","parse-names":false,"suffix":""}],"container-title":"E-Jurnal Akuntansi Universitas Udayana","id":"ITEM-1","issue":"3","issued":{"date-parts":[["2016"]]},"page":"1584-1615","title":"Pengaruh Ukuran Perusahaan, Umur Perusahaan, Profitabilitas, Leverage, Dan Pertumbuhan Penjualan Terhadap Tax Avoidance","type":"article-journal","volume":"14"},"uris":["http://www.mendeley.com/documents/?uuid=73245ae9-8288-44b1-9bb1-9609a875c567"]}],"mendeley":{"formattedCitation":"(Dewinta &amp; Setiawan, 2016)","manualFormatting":"Dewinta &amp; Setiawan (2016)","plainTextFormattedCitation":"(Dewinta &amp; Setiawan, 2016)","previouslyFormattedCitation":"(Dewinta &amp; Setiawan, 2016)"},"properties":{"noteIndex":0},"schema":"https://github.com/citation-style-language/schema/raw/master/csl-citation.json"}</w:instrText>
      </w:r>
      <w:r w:rsidRPr="000C43E5">
        <w:rPr>
          <w:color w:val="000000"/>
          <w:sz w:val="24"/>
          <w:szCs w:val="24"/>
        </w:rPr>
        <w:fldChar w:fldCharType="separate"/>
      </w:r>
      <w:r w:rsidRPr="000C43E5">
        <w:rPr>
          <w:noProof/>
          <w:color w:val="000000"/>
          <w:sz w:val="24"/>
          <w:szCs w:val="24"/>
        </w:rPr>
        <w:t>Dewinta &amp; Setiawan (2016)</w:t>
      </w:r>
      <w:r w:rsidRPr="000C43E5">
        <w:rPr>
          <w:color w:val="000000"/>
          <w:sz w:val="24"/>
          <w:szCs w:val="24"/>
        </w:rPr>
        <w:fldChar w:fldCharType="end"/>
      </w:r>
      <w:r w:rsidRPr="000C43E5">
        <w:rPr>
          <w:color w:val="000000"/>
          <w:sz w:val="24"/>
          <w:szCs w:val="24"/>
        </w:rPr>
        <w:t xml:space="preserve">; </w:t>
      </w:r>
      <w:r w:rsidRPr="000C43E5">
        <w:rPr>
          <w:color w:val="000000"/>
          <w:sz w:val="24"/>
          <w:szCs w:val="24"/>
        </w:rPr>
        <w:fldChar w:fldCharType="begin" w:fldLock="1"/>
      </w:r>
      <w:r w:rsidRPr="000C43E5">
        <w:rPr>
          <w:color w:val="000000"/>
          <w:sz w:val="24"/>
          <w:szCs w:val="24"/>
        </w:rPr>
        <w:instrText>ADDIN CSL_CITATION {"citationItems":[{"id":"ITEM-1","itemData":{"DOI":"10.24912/ja.v20i3.4","ISSN":"1410-3591","abstract":"This study aims to determine the trend of tax avoidance manufacturing company in the long term. From the analysis of the trend of tax avoidance within relatively long period can be known how fluctuations in the increase or decrease in tax avoidance that occurs and what factors are influencing the increase or decrease in tax avoidance company so that tax authorities may evaluate policies issued in order to increase the level of taxpayer compliance. This research is a descriptive study using secondary data manufacturing company's financial statements from 2001 to 2014. The size of tax avoidance using ETR and CETR. The result is that the trend of corporate tax avoidance manufacturing high seen from the ETR and CETR small.","author":[{"dropping-particle":"","family":"Astuti","given":"Titiek Puji","non-dropping-particle":"","parse-names":false,"suffix":""},{"dropping-particle":"","family":"Aryani","given":"Y Anni","non-dropping-particle":"","parse-names":false,"suffix":""}],"container-title":"Jurnal Akuntansi","id":"ITEM-1","issue":"3","issued":{"date-parts":[["2017"]]},"page":"375-388","title":"Tren Penghindaran Pajak Perusahaan Manufaktur Di Indonesia Yang Terdaftar Di Bei Tahun 2001-2014","type":"article-journal","volume":"20"},"uris":["http://www.mendeley.com/documents/?uuid=92588c5a-868f-40b4-8106-1f6fb4b62d35"]}],"mendeley":{"formattedCitation":"(Astuti &amp; Aryani, 2017)","manualFormatting":"Astuti &amp; Aryani (2017)","plainTextFormattedCitation":"(Astuti &amp; Aryani, 2017)","previouslyFormattedCitation":"(Astuti &amp; Aryani, 2017)"},"properties":{"noteIndex":0},"schema":"https://github.com/citation-style-language/schema/raw/master/csl-citation.json"}</w:instrText>
      </w:r>
      <w:r w:rsidRPr="000C43E5">
        <w:rPr>
          <w:color w:val="000000"/>
          <w:sz w:val="24"/>
          <w:szCs w:val="24"/>
        </w:rPr>
        <w:fldChar w:fldCharType="separate"/>
      </w:r>
      <w:r w:rsidRPr="000C43E5">
        <w:rPr>
          <w:noProof/>
          <w:color w:val="000000"/>
          <w:sz w:val="24"/>
          <w:szCs w:val="24"/>
        </w:rPr>
        <w:t>Astuti &amp; Aryani (2017)</w:t>
      </w:r>
      <w:r w:rsidRPr="000C43E5">
        <w:rPr>
          <w:color w:val="000000"/>
          <w:sz w:val="24"/>
          <w:szCs w:val="24"/>
        </w:rPr>
        <w:fldChar w:fldCharType="end"/>
      </w:r>
      <w:r w:rsidRPr="000C43E5">
        <w:rPr>
          <w:color w:val="000000"/>
          <w:sz w:val="24"/>
          <w:szCs w:val="24"/>
        </w:rPr>
        <w:t>.</w:t>
      </w:r>
    </w:p>
    <w:p w14:paraId="38F2441B" w14:textId="77777777" w:rsidR="000C43E5" w:rsidRPr="000C43E5" w:rsidRDefault="000C43E5" w:rsidP="000C43E5">
      <w:pPr>
        <w:adjustRightInd w:val="0"/>
        <w:ind w:left="60" w:right="60"/>
        <w:contextualSpacing/>
        <w:rPr>
          <w:color w:val="000000"/>
          <w:sz w:val="24"/>
          <w:szCs w:val="24"/>
        </w:rPr>
      </w:pPr>
    </w:p>
    <w:p w14:paraId="412BA197" w14:textId="77777777" w:rsidR="000C43E5" w:rsidRPr="000C43E5" w:rsidRDefault="000C43E5" w:rsidP="000C43E5">
      <w:pPr>
        <w:adjustRightInd w:val="0"/>
        <w:contextualSpacing/>
        <w:jc w:val="both"/>
        <w:rPr>
          <w:b/>
          <w:bCs/>
          <w:color w:val="000000"/>
          <w:sz w:val="24"/>
          <w:szCs w:val="24"/>
        </w:rPr>
      </w:pPr>
      <w:r w:rsidRPr="000C43E5">
        <w:rPr>
          <w:b/>
          <w:bCs/>
          <w:color w:val="000000"/>
          <w:sz w:val="24"/>
          <w:szCs w:val="24"/>
        </w:rPr>
        <w:t>Discussion</w:t>
      </w:r>
    </w:p>
    <w:p w14:paraId="41E2F945" w14:textId="77777777" w:rsidR="000C43E5" w:rsidRPr="000C43E5" w:rsidRDefault="000C43E5" w:rsidP="000C43E5">
      <w:pPr>
        <w:adjustRightInd w:val="0"/>
        <w:ind w:firstLine="567"/>
        <w:contextualSpacing/>
        <w:jc w:val="both"/>
        <w:rPr>
          <w:color w:val="000000"/>
          <w:sz w:val="24"/>
          <w:szCs w:val="24"/>
        </w:rPr>
      </w:pPr>
      <w:r w:rsidRPr="000C43E5">
        <w:rPr>
          <w:color w:val="000000"/>
          <w:sz w:val="24"/>
          <w:szCs w:val="24"/>
        </w:rPr>
        <w:t>The results of regression tests on profitability variables prove that profitability has a significant positive effect on tax avoidance. This means that if profitability increases, then tax avoidance also increases. Vice versa, if profitability decreases, then tax avoidance also decreases.</w:t>
      </w:r>
    </w:p>
    <w:p w14:paraId="3B81969F" w14:textId="77777777" w:rsidR="000C43E5" w:rsidRPr="000C43E5" w:rsidRDefault="000C43E5" w:rsidP="000C43E5">
      <w:pPr>
        <w:adjustRightInd w:val="0"/>
        <w:ind w:firstLine="567"/>
        <w:contextualSpacing/>
        <w:jc w:val="both"/>
        <w:rPr>
          <w:color w:val="000000"/>
          <w:sz w:val="24"/>
          <w:szCs w:val="24"/>
        </w:rPr>
      </w:pPr>
      <w:r w:rsidRPr="000C43E5">
        <w:rPr>
          <w:color w:val="000000"/>
          <w:sz w:val="24"/>
          <w:szCs w:val="24"/>
        </w:rPr>
        <w:t>Profitability is a ratio that indicates a company's ability to make a profit. Companies that have high profitability will tend to be in demand by investors because they are considered capable of providing greater shareholder benefits. This will result in the shares of companies with high proftability will have a high price compared to other companies. However, on the other hand, high profitability results in a high tax burden that the company has to pay. As it is known that taxes are a burden for companies so it is not uncommon for companies to avoid them. Thus, companies that have high profitability will tend to avoid taxes.</w:t>
      </w:r>
    </w:p>
    <w:p w14:paraId="757C2155" w14:textId="77777777" w:rsidR="000C43E5" w:rsidRPr="000C43E5" w:rsidRDefault="000C43E5" w:rsidP="000C43E5">
      <w:pPr>
        <w:adjustRightInd w:val="0"/>
        <w:contextualSpacing/>
        <w:jc w:val="both"/>
        <w:rPr>
          <w:color w:val="000000"/>
          <w:sz w:val="24"/>
          <w:szCs w:val="24"/>
        </w:rPr>
      </w:pPr>
    </w:p>
    <w:p w14:paraId="3617B656" w14:textId="77777777" w:rsidR="000C43E5" w:rsidRPr="000C43E5" w:rsidRDefault="000C43E5" w:rsidP="000C43E5">
      <w:pPr>
        <w:adjustRightInd w:val="0"/>
        <w:ind w:firstLine="567"/>
        <w:contextualSpacing/>
        <w:jc w:val="both"/>
        <w:rPr>
          <w:color w:val="000000"/>
          <w:sz w:val="24"/>
          <w:szCs w:val="24"/>
        </w:rPr>
      </w:pPr>
      <w:r w:rsidRPr="000C43E5">
        <w:rPr>
          <w:color w:val="000000"/>
          <w:sz w:val="24"/>
          <w:szCs w:val="24"/>
        </w:rPr>
        <w:t>Regression test results show that leverage has no effect on tax avoidance either partially or simultaneously. The relationship between leverage with CETR is negative, meaning that the higher the and leverage the lower the CETR value. The variables leverage have no effect on tax avoidance.  This means that high or low leverage does not affect tax avoidance. Leverage proxied with debt to equity ratio indicates a company's preference for using debt rather than equity. The higher the level of debt held, the greater the interest burden to be paid. This burden becomes a deductible expense that will reduce the amount of taxes owed. Thus, leverage has no effect on tax avoidance.</w:t>
      </w:r>
    </w:p>
    <w:p w14:paraId="46BACFD8" w14:textId="77777777" w:rsidR="000C43E5" w:rsidRPr="000C43E5" w:rsidRDefault="000C43E5" w:rsidP="000C43E5">
      <w:pPr>
        <w:tabs>
          <w:tab w:val="left" w:pos="1276"/>
        </w:tabs>
        <w:adjustRightInd w:val="0"/>
        <w:ind w:firstLine="426"/>
        <w:contextualSpacing/>
        <w:jc w:val="both"/>
        <w:rPr>
          <w:color w:val="000000"/>
          <w:sz w:val="24"/>
          <w:szCs w:val="24"/>
        </w:rPr>
      </w:pPr>
      <w:r w:rsidRPr="000C43E5">
        <w:rPr>
          <w:color w:val="000000"/>
          <w:sz w:val="24"/>
          <w:szCs w:val="24"/>
        </w:rPr>
        <w:t>During this pandemic the awareness of taxpayers to pay taxes increased, especially in the third quarter of 2020. This condition is triggered by several relaxation policies and tax incentives released by the finance minister. This policy provides various leeways to taxpayers to fulfill their tax rights and obligations. Some of the tax relaxation policies in 2020 include:</w:t>
      </w:r>
    </w:p>
    <w:p w14:paraId="07C459B4" w14:textId="77777777" w:rsidR="000C43E5" w:rsidRPr="000C43E5" w:rsidRDefault="000C43E5" w:rsidP="000C43E5">
      <w:pPr>
        <w:pStyle w:val="ListParagraph"/>
        <w:numPr>
          <w:ilvl w:val="0"/>
          <w:numId w:val="8"/>
        </w:numPr>
        <w:autoSpaceDE w:val="0"/>
        <w:autoSpaceDN w:val="0"/>
        <w:adjustRightInd w:val="0"/>
        <w:spacing w:after="0" w:line="240" w:lineRule="auto"/>
        <w:ind w:left="284" w:hanging="284"/>
        <w:rPr>
          <w:rFonts w:ascii="Times New Roman" w:hAnsi="Times New Roman" w:cs="Times New Roman"/>
          <w:color w:val="000000"/>
          <w:sz w:val="24"/>
          <w:szCs w:val="24"/>
        </w:rPr>
      </w:pPr>
      <w:r w:rsidRPr="000C43E5">
        <w:rPr>
          <w:rFonts w:ascii="Times New Roman" w:hAnsi="Times New Roman" w:cs="Times New Roman"/>
          <w:color w:val="222222"/>
          <w:sz w:val="24"/>
          <w:szCs w:val="24"/>
        </w:rPr>
        <w:t xml:space="preserve">Decreased the Agency </w:t>
      </w:r>
      <w:proofErr w:type="spellStart"/>
      <w:r w:rsidRPr="000C43E5">
        <w:rPr>
          <w:rFonts w:ascii="Times New Roman" w:hAnsi="Times New Roman" w:cs="Times New Roman"/>
          <w:color w:val="222222"/>
          <w:sz w:val="24"/>
          <w:szCs w:val="24"/>
        </w:rPr>
        <w:t>PPh</w:t>
      </w:r>
      <w:proofErr w:type="spellEnd"/>
      <w:r w:rsidRPr="000C43E5">
        <w:rPr>
          <w:rFonts w:ascii="Times New Roman" w:hAnsi="Times New Roman" w:cs="Times New Roman"/>
          <w:color w:val="222222"/>
          <w:sz w:val="24"/>
          <w:szCs w:val="24"/>
        </w:rPr>
        <w:t xml:space="preserve"> Rate which was originally 25% to 22% for the 2020 and 2021 tax years, then to 20% in the 2022 tax year. Companies in the form of Open Companies with the total number of shares traded on the stock exchange in Indonesia at least 40%, and meet certain conditions, can obtain a rate 3% lower than the general rate of corporate tax.</w:t>
      </w:r>
    </w:p>
    <w:p w14:paraId="12B205C4" w14:textId="77777777" w:rsidR="000C43E5" w:rsidRPr="000C43E5" w:rsidRDefault="000C43E5" w:rsidP="000C43E5">
      <w:pPr>
        <w:pStyle w:val="ListParagraph"/>
        <w:numPr>
          <w:ilvl w:val="0"/>
          <w:numId w:val="8"/>
        </w:numPr>
        <w:autoSpaceDE w:val="0"/>
        <w:autoSpaceDN w:val="0"/>
        <w:adjustRightInd w:val="0"/>
        <w:spacing w:after="0" w:line="240" w:lineRule="auto"/>
        <w:ind w:left="284" w:hanging="284"/>
        <w:rPr>
          <w:rStyle w:val="Strong"/>
          <w:rFonts w:ascii="Times New Roman" w:hAnsi="Times New Roman" w:cs="Times New Roman"/>
          <w:b w:val="0"/>
          <w:bCs w:val="0"/>
          <w:color w:val="222222"/>
          <w:sz w:val="24"/>
          <w:szCs w:val="24"/>
        </w:rPr>
      </w:pPr>
      <w:r w:rsidRPr="000C43E5">
        <w:rPr>
          <w:rStyle w:val="Strong"/>
          <w:rFonts w:ascii="Times New Roman" w:hAnsi="Times New Roman" w:cs="Times New Roman"/>
          <w:b w:val="0"/>
          <w:bCs w:val="0"/>
          <w:color w:val="222222"/>
          <w:sz w:val="24"/>
          <w:szCs w:val="24"/>
        </w:rPr>
        <w:t>Extension of Time in Taxation Administration, including:</w:t>
      </w:r>
    </w:p>
    <w:p w14:paraId="5293EC98" w14:textId="77777777" w:rsidR="000C43E5" w:rsidRPr="000C43E5" w:rsidRDefault="000C43E5" w:rsidP="000C43E5">
      <w:pPr>
        <w:pStyle w:val="ListParagraph"/>
        <w:numPr>
          <w:ilvl w:val="0"/>
          <w:numId w:val="9"/>
        </w:numPr>
        <w:autoSpaceDE w:val="0"/>
        <w:autoSpaceDN w:val="0"/>
        <w:adjustRightInd w:val="0"/>
        <w:spacing w:after="0" w:line="240" w:lineRule="auto"/>
        <w:rPr>
          <w:rFonts w:ascii="Times New Roman" w:hAnsi="Times New Roman" w:cs="Times New Roman"/>
          <w:color w:val="222222"/>
          <w:sz w:val="24"/>
          <w:szCs w:val="24"/>
        </w:rPr>
      </w:pPr>
      <w:r w:rsidRPr="000C43E5">
        <w:rPr>
          <w:rFonts w:ascii="Times New Roman" w:hAnsi="Times New Roman" w:cs="Times New Roman"/>
          <w:color w:val="222222"/>
          <w:sz w:val="24"/>
          <w:szCs w:val="24"/>
        </w:rPr>
        <w:t>The period of submission of objections by the taxpayer as in Article 25 paragraph (3) of the KUP Law is extended for a maximum of 6 months.</w:t>
      </w:r>
    </w:p>
    <w:p w14:paraId="0FE86C7F" w14:textId="77777777" w:rsidR="000C43E5" w:rsidRPr="000C43E5" w:rsidRDefault="000C43E5" w:rsidP="000C43E5">
      <w:pPr>
        <w:pStyle w:val="ListParagraph"/>
        <w:numPr>
          <w:ilvl w:val="0"/>
          <w:numId w:val="9"/>
        </w:numPr>
        <w:autoSpaceDE w:val="0"/>
        <w:autoSpaceDN w:val="0"/>
        <w:adjustRightInd w:val="0"/>
        <w:spacing w:after="0" w:line="240" w:lineRule="auto"/>
        <w:rPr>
          <w:rFonts w:ascii="Times New Roman" w:hAnsi="Times New Roman" w:cs="Times New Roman"/>
          <w:color w:val="222222"/>
          <w:sz w:val="24"/>
          <w:szCs w:val="24"/>
        </w:rPr>
      </w:pPr>
      <w:r w:rsidRPr="000C43E5">
        <w:rPr>
          <w:rFonts w:ascii="Times New Roman" w:hAnsi="Times New Roman" w:cs="Times New Roman"/>
          <w:color w:val="222222"/>
          <w:sz w:val="24"/>
          <w:szCs w:val="24"/>
        </w:rPr>
        <w:t>Period of issuance of tax decree in connection with the application for the return of excess tax payments extended for a maximum of 6 months.</w:t>
      </w:r>
    </w:p>
    <w:p w14:paraId="6296FF7A" w14:textId="77777777" w:rsidR="000C43E5" w:rsidRPr="000C43E5" w:rsidRDefault="000C43E5" w:rsidP="000C43E5">
      <w:pPr>
        <w:pStyle w:val="ListParagraph"/>
        <w:numPr>
          <w:ilvl w:val="0"/>
          <w:numId w:val="9"/>
        </w:numPr>
        <w:autoSpaceDE w:val="0"/>
        <w:autoSpaceDN w:val="0"/>
        <w:adjustRightInd w:val="0"/>
        <w:spacing w:after="0" w:line="240" w:lineRule="auto"/>
        <w:rPr>
          <w:rFonts w:ascii="Times New Roman" w:hAnsi="Times New Roman" w:cs="Times New Roman"/>
          <w:color w:val="222222"/>
          <w:sz w:val="24"/>
          <w:szCs w:val="24"/>
        </w:rPr>
      </w:pPr>
      <w:r w:rsidRPr="000C43E5">
        <w:rPr>
          <w:rFonts w:ascii="Times New Roman" w:hAnsi="Times New Roman" w:cs="Times New Roman"/>
          <w:color w:val="222222"/>
          <w:sz w:val="24"/>
          <w:szCs w:val="24"/>
        </w:rPr>
        <w:t>The period of decision on objections is extended by a maximum of 6 months.</w:t>
      </w:r>
    </w:p>
    <w:p w14:paraId="55D3E620" w14:textId="77777777" w:rsidR="000C43E5" w:rsidRPr="000C43E5" w:rsidRDefault="000C43E5" w:rsidP="000C43E5">
      <w:pPr>
        <w:widowControl/>
        <w:numPr>
          <w:ilvl w:val="0"/>
          <w:numId w:val="9"/>
        </w:numPr>
        <w:autoSpaceDE/>
        <w:autoSpaceDN/>
        <w:contextualSpacing/>
        <w:jc w:val="both"/>
        <w:rPr>
          <w:color w:val="222222"/>
          <w:sz w:val="24"/>
          <w:szCs w:val="24"/>
        </w:rPr>
      </w:pPr>
      <w:r w:rsidRPr="000C43E5">
        <w:rPr>
          <w:color w:val="222222"/>
          <w:sz w:val="24"/>
          <w:szCs w:val="24"/>
        </w:rPr>
        <w:lastRenderedPageBreak/>
        <w:t>The period of application for reduction or elimination of administrative sanctions, reduction or cancellation of improper tax provisions, reduction or cancellation of examination results extended for a maximum of 6 months.</w:t>
      </w:r>
    </w:p>
    <w:p w14:paraId="3D304EAA" w14:textId="77777777" w:rsidR="000C43E5" w:rsidRPr="000C43E5" w:rsidRDefault="000C43E5" w:rsidP="000C43E5">
      <w:pPr>
        <w:widowControl/>
        <w:numPr>
          <w:ilvl w:val="0"/>
          <w:numId w:val="9"/>
        </w:numPr>
        <w:autoSpaceDE/>
        <w:autoSpaceDN/>
        <w:contextualSpacing/>
        <w:jc w:val="both"/>
        <w:rPr>
          <w:color w:val="222222"/>
          <w:sz w:val="24"/>
          <w:szCs w:val="24"/>
        </w:rPr>
      </w:pPr>
      <w:r w:rsidRPr="000C43E5">
        <w:rPr>
          <w:color w:val="222222"/>
          <w:sz w:val="24"/>
          <w:szCs w:val="24"/>
        </w:rPr>
        <w:t>The period of return of excess tax as in extended at least 1 month</w:t>
      </w:r>
    </w:p>
    <w:p w14:paraId="01469EF6" w14:textId="77777777" w:rsidR="000C43E5" w:rsidRPr="000C43E5" w:rsidRDefault="000C43E5" w:rsidP="000C43E5">
      <w:pPr>
        <w:pStyle w:val="ListParagraph"/>
        <w:numPr>
          <w:ilvl w:val="0"/>
          <w:numId w:val="8"/>
        </w:numPr>
        <w:spacing w:after="0" w:line="240" w:lineRule="auto"/>
        <w:ind w:left="284" w:hanging="284"/>
        <w:rPr>
          <w:rFonts w:ascii="Times New Roman" w:hAnsi="Times New Roman" w:cs="Times New Roman"/>
          <w:color w:val="222222"/>
          <w:sz w:val="24"/>
          <w:szCs w:val="24"/>
        </w:rPr>
      </w:pPr>
      <w:r w:rsidRPr="000C43E5">
        <w:rPr>
          <w:rFonts w:ascii="Times New Roman" w:hAnsi="Times New Roman" w:cs="Times New Roman"/>
          <w:color w:val="0D0D0D" w:themeColor="text1" w:themeTint="F2"/>
          <w:sz w:val="24"/>
          <w:szCs w:val="24"/>
        </w:rPr>
        <w:t>Provision of Customs Facilities or customs waivers in the context of handling the COVID-19 pandemic, and/or facing threats that endanger the national economy as stipulated in PMK Number 34/PMK.04/2020 of 2020 concerning the Provision of Customs and/or Excise Facilities and Taxation on The Import of Goods for The Purposes of Handling the Corona Virus Disease Pandemic 2019 (COVID-19).</w:t>
      </w:r>
    </w:p>
    <w:p w14:paraId="0D4CF69F" w14:textId="77777777" w:rsidR="000C43E5" w:rsidRPr="000C43E5" w:rsidRDefault="000C43E5" w:rsidP="000C43E5">
      <w:pPr>
        <w:pStyle w:val="ListParagraph"/>
        <w:numPr>
          <w:ilvl w:val="0"/>
          <w:numId w:val="8"/>
        </w:numPr>
        <w:spacing w:after="0" w:line="240" w:lineRule="auto"/>
        <w:ind w:left="284" w:hanging="284"/>
        <w:rPr>
          <w:rFonts w:ascii="Times New Roman" w:hAnsi="Times New Roman" w:cs="Times New Roman"/>
          <w:color w:val="222222"/>
          <w:sz w:val="24"/>
          <w:szCs w:val="24"/>
        </w:rPr>
      </w:pPr>
      <w:r w:rsidRPr="000C43E5">
        <w:rPr>
          <w:rFonts w:ascii="Times New Roman" w:hAnsi="Times New Roman" w:cs="Times New Roman"/>
          <w:color w:val="222222"/>
          <w:sz w:val="24"/>
          <w:szCs w:val="24"/>
        </w:rPr>
        <w:t xml:space="preserve">Taxes on Electronic Transactions, in the form of VAT levies on the utilization of Intangible Taxable Goods and/or Taxable Services by overseas platforms through Trading Through Electronic Systems ("PMSE"). In addition to VAT, the government also collects </w:t>
      </w:r>
      <w:proofErr w:type="spellStart"/>
      <w:r w:rsidRPr="000C43E5">
        <w:rPr>
          <w:rFonts w:ascii="Times New Roman" w:hAnsi="Times New Roman" w:cs="Times New Roman"/>
          <w:color w:val="222222"/>
          <w:sz w:val="24"/>
          <w:szCs w:val="24"/>
        </w:rPr>
        <w:t>PPh</w:t>
      </w:r>
      <w:proofErr w:type="spellEnd"/>
      <w:r w:rsidRPr="000C43E5">
        <w:rPr>
          <w:rFonts w:ascii="Times New Roman" w:hAnsi="Times New Roman" w:cs="Times New Roman"/>
          <w:color w:val="222222"/>
          <w:sz w:val="24"/>
          <w:szCs w:val="24"/>
        </w:rPr>
        <w:t xml:space="preserve"> or electronic transaction tax on PMSE activities by foreign tax subjects who have a significant economic presence in Indonesia.</w:t>
      </w:r>
    </w:p>
    <w:p w14:paraId="5C9DEE87" w14:textId="77777777" w:rsidR="000C43E5" w:rsidRPr="000C43E5" w:rsidRDefault="000C43E5" w:rsidP="000C43E5">
      <w:pPr>
        <w:jc w:val="both"/>
        <w:rPr>
          <w:sz w:val="24"/>
          <w:szCs w:val="24"/>
        </w:rPr>
      </w:pPr>
    </w:p>
    <w:p w14:paraId="31D4A24C" w14:textId="77777777" w:rsidR="000C43E5" w:rsidRPr="000C43E5" w:rsidRDefault="000C43E5" w:rsidP="000C43E5">
      <w:pPr>
        <w:ind w:firstLine="426"/>
        <w:jc w:val="both"/>
        <w:rPr>
          <w:sz w:val="24"/>
          <w:szCs w:val="24"/>
        </w:rPr>
      </w:pPr>
      <w:r w:rsidRPr="000C43E5">
        <w:rPr>
          <w:sz w:val="24"/>
          <w:szCs w:val="24"/>
        </w:rPr>
        <w:t>The Government through the Director General of Taxes issued PP Number 23 of 2020 on Tax Incentives for Taxpayers affected by the Corona Virus. There are four tax incentives to anticipate the economic impact of Covid-19. First, PPh Article 21 is borne by the Government for 6 months for workers with a gross income of no more than 200 million rupiah. Second, the Exemption of PPh Article 22 Import for 6 months. Third, The Reduction of Article 25 PPh by 30% for 6 months. Lastly, VAT restitution accelerated for 6 months for Exporters and Non Exporters with a restitution value of at most 5 Billion</w:t>
      </w:r>
    </w:p>
    <w:p w14:paraId="45631952" w14:textId="77777777" w:rsidR="000C43E5" w:rsidRPr="000C43E5" w:rsidRDefault="000C43E5" w:rsidP="000C43E5">
      <w:pPr>
        <w:ind w:firstLine="567"/>
        <w:jc w:val="both"/>
        <w:rPr>
          <w:color w:val="000000"/>
          <w:sz w:val="24"/>
          <w:szCs w:val="24"/>
        </w:rPr>
      </w:pPr>
      <w:r w:rsidRPr="000C43E5">
        <w:rPr>
          <w:color w:val="000000"/>
          <w:sz w:val="24"/>
          <w:szCs w:val="24"/>
        </w:rPr>
        <w:t>The regulation is an anticipatory step by the government in addressing some of the massive impacts caused by the corona virus.  In addition, this PP also aims to maintain the stability of economic growth, purchasing power of certain sectors in connection with the coronavirus outbreak and support the response to the impact of the corona virus.</w:t>
      </w:r>
    </w:p>
    <w:p w14:paraId="05CF4538" w14:textId="77777777" w:rsidR="000C43E5" w:rsidRPr="000C43E5" w:rsidRDefault="000C43E5" w:rsidP="000C43E5">
      <w:pPr>
        <w:ind w:firstLine="567"/>
        <w:jc w:val="both"/>
        <w:rPr>
          <w:sz w:val="24"/>
          <w:szCs w:val="24"/>
        </w:rPr>
      </w:pPr>
      <w:r w:rsidRPr="000C43E5">
        <w:rPr>
          <w:sz w:val="24"/>
          <w:szCs w:val="24"/>
        </w:rPr>
        <w:t>The government's relaxation and intensive policy is responded well by business actors, especially companies that are already registered with the IDX. Drive theory explains that every behavior needs a boost. The policy of relaxation of incentives from the director general of taxes encourages a person to behave in compliance with taxes. The company in this case responds to the policy policy of the director general of taxes while still fulfilling tax rights and obligations so as to minimize tax avoidance.</w:t>
      </w:r>
    </w:p>
    <w:p w14:paraId="7B9F346E" w14:textId="77777777" w:rsidR="000C43E5" w:rsidRPr="000C43E5" w:rsidRDefault="000C43E5" w:rsidP="000C43E5">
      <w:pPr>
        <w:ind w:firstLine="567"/>
        <w:jc w:val="both"/>
        <w:rPr>
          <w:color w:val="000000"/>
          <w:sz w:val="24"/>
          <w:szCs w:val="24"/>
        </w:rPr>
      </w:pPr>
      <w:r w:rsidRPr="000C43E5">
        <w:rPr>
          <w:color w:val="000000"/>
          <w:sz w:val="24"/>
          <w:szCs w:val="24"/>
        </w:rPr>
        <w:t>Testing the third hypothesis, shows that liquidity has a significant negative effect on tax avoidance. This means that the higher the liquidity, the lower the tax avoidance. Conversely, the lower the liquidity, the higher the tax avoidance.</w:t>
      </w:r>
    </w:p>
    <w:p w14:paraId="25AB5DEB" w14:textId="77777777" w:rsidR="000C43E5" w:rsidRPr="000C43E5" w:rsidRDefault="000C43E5" w:rsidP="000C43E5">
      <w:pPr>
        <w:ind w:firstLine="567"/>
        <w:jc w:val="both"/>
        <w:rPr>
          <w:color w:val="000000"/>
          <w:sz w:val="24"/>
          <w:szCs w:val="24"/>
        </w:rPr>
      </w:pPr>
      <w:r w:rsidRPr="000C43E5">
        <w:rPr>
          <w:color w:val="000000"/>
          <w:sz w:val="24"/>
          <w:szCs w:val="24"/>
        </w:rPr>
        <w:t>Liquidity ratio is a ratio that describes a company's ability to pay its short-term debt. The greater the value of the liquidity ratio, the greater the company's ability to meet its short-term obligations. Taxes are lancer obligations that must be paid by the company. When the company's liquidity is high, then the company will be easy to pay all its obligations. In this case, companies with high liquidity will more easily pay taxes than companies with low liquidity.</w:t>
      </w:r>
    </w:p>
    <w:p w14:paraId="3A3EC0E3" w14:textId="77777777" w:rsidR="000C43E5" w:rsidRPr="000C43E5" w:rsidRDefault="000C43E5" w:rsidP="000C43E5">
      <w:pPr>
        <w:ind w:firstLine="567"/>
        <w:jc w:val="both"/>
        <w:rPr>
          <w:color w:val="000000"/>
          <w:sz w:val="24"/>
          <w:szCs w:val="24"/>
        </w:rPr>
      </w:pPr>
      <w:r w:rsidRPr="000C43E5">
        <w:rPr>
          <w:noProof/>
          <w:sz w:val="24"/>
          <w:szCs w:val="24"/>
        </w:rPr>
        <w:t>Companies with low liquidity will tend to be more careful in using their current assets, especially cash because if the company's cash is hampered, the company's operating costs needs are also hampered. As a result, the company will find it difficult to continue its business processes. Thus, the company will make a priority scale in the use of cash owned. In this case, the company will prioritize cash payments for its operational needs rather than for tax payments. Thus, companies will be encouraged to do even greater tax avoidance. The results of this study support several previous studies, includingAstuti, T. P., &amp; Aryani, Y. A. (2017); Budianti, S., &amp; Curry, K. (2018); dan Wardani, D. K., &amp; Khoiriyah, D. (2018).</w:t>
      </w:r>
    </w:p>
    <w:p w14:paraId="7E50D5B6" w14:textId="77777777" w:rsidR="000C43E5" w:rsidRPr="000C43E5" w:rsidRDefault="000C43E5" w:rsidP="000C43E5">
      <w:pPr>
        <w:rPr>
          <w:b/>
          <w:bCs/>
          <w:color w:val="000000"/>
          <w:sz w:val="24"/>
          <w:szCs w:val="24"/>
        </w:rPr>
      </w:pPr>
    </w:p>
    <w:p w14:paraId="50897FDF" w14:textId="39A1A4F5" w:rsidR="009B7B92" w:rsidRPr="00E45AAD" w:rsidRDefault="00E45AAD" w:rsidP="008D10A6">
      <w:pPr>
        <w:pStyle w:val="ListParagraph"/>
        <w:numPr>
          <w:ilvl w:val="0"/>
          <w:numId w:val="8"/>
        </w:numPr>
        <w:tabs>
          <w:tab w:val="left" w:pos="1236"/>
        </w:tabs>
        <w:ind w:left="426" w:hanging="426"/>
        <w:rPr>
          <w:rFonts w:ascii="Times New Roman" w:hAnsi="Times New Roman" w:cs="Times New Roman"/>
          <w:b/>
          <w:sz w:val="24"/>
        </w:rPr>
      </w:pPr>
      <w:r w:rsidRPr="00E45AAD">
        <w:rPr>
          <w:rFonts w:ascii="Times New Roman" w:hAnsi="Times New Roman" w:cs="Times New Roman"/>
          <w:b/>
          <w:sz w:val="24"/>
        </w:rPr>
        <w:lastRenderedPageBreak/>
        <w:t>CONCLUSION</w:t>
      </w:r>
    </w:p>
    <w:p w14:paraId="45FB5D23" w14:textId="151D205C" w:rsidR="00C40A65" w:rsidRDefault="00C40A65" w:rsidP="00C40A65">
      <w:pPr>
        <w:pStyle w:val="BodyText"/>
        <w:ind w:firstLine="720"/>
        <w:jc w:val="both"/>
        <w:rPr>
          <w:szCs w:val="22"/>
        </w:rPr>
      </w:pPr>
      <w:r w:rsidRPr="00F50D24">
        <w:rPr>
          <w:szCs w:val="22"/>
        </w:rPr>
        <w:t xml:space="preserve">The variable of </w:t>
      </w:r>
      <w:r w:rsidR="000C43E5">
        <w:rPr>
          <w:szCs w:val="22"/>
          <w:lang w:val="en-US"/>
        </w:rPr>
        <w:t xml:space="preserve">Profitability </w:t>
      </w:r>
      <w:r w:rsidRPr="00F50D24">
        <w:rPr>
          <w:szCs w:val="22"/>
        </w:rPr>
        <w:t xml:space="preserve">partially has a positive and significant effect on the </w:t>
      </w:r>
      <w:r w:rsidR="000C43E5">
        <w:rPr>
          <w:szCs w:val="22"/>
          <w:lang w:val="en-US"/>
        </w:rPr>
        <w:t>tax avoidance</w:t>
      </w:r>
      <w:r w:rsidRPr="00F50D24">
        <w:rPr>
          <w:szCs w:val="22"/>
        </w:rPr>
        <w:t xml:space="preserve"> at </w:t>
      </w:r>
      <w:r w:rsidR="000C43E5" w:rsidRPr="000C43E5">
        <w:t>companies included in the property, industrial, and infrastructure sectors are listed on the Indonesian Stock Exchange</w:t>
      </w:r>
      <w:r w:rsidR="000C43E5">
        <w:rPr>
          <w:lang w:val="en-US"/>
        </w:rPr>
        <w:t xml:space="preserve">. </w:t>
      </w:r>
      <w:r w:rsidRPr="00F50D24">
        <w:rPr>
          <w:szCs w:val="22"/>
        </w:rPr>
        <w:t xml:space="preserve">These results </w:t>
      </w:r>
      <w:r w:rsidRPr="00F50D24">
        <w:t>indicate</w:t>
      </w:r>
      <w:r w:rsidRPr="00F50D24">
        <w:rPr>
          <w:szCs w:val="22"/>
        </w:rPr>
        <w:t xml:space="preserve"> that the higher the </w:t>
      </w:r>
      <w:r w:rsidR="000C43E5">
        <w:rPr>
          <w:szCs w:val="22"/>
          <w:lang w:val="en-US"/>
        </w:rPr>
        <w:t>profitability</w:t>
      </w:r>
      <w:r w:rsidR="008D10A6">
        <w:rPr>
          <w:szCs w:val="22"/>
          <w:lang w:val="en-US"/>
        </w:rPr>
        <w:t>, the higher the tax avoidance</w:t>
      </w:r>
      <w:r w:rsidR="000807E3">
        <w:rPr>
          <w:szCs w:val="22"/>
          <w:lang w:val="en-US"/>
        </w:rPr>
        <w:t xml:space="preserve">. </w:t>
      </w:r>
      <w:r w:rsidRPr="00F50D24">
        <w:rPr>
          <w:szCs w:val="22"/>
        </w:rPr>
        <w:t>The variable of</w:t>
      </w:r>
      <w:r w:rsidR="000807E3">
        <w:rPr>
          <w:szCs w:val="22"/>
          <w:lang w:val="en-US"/>
        </w:rPr>
        <w:t xml:space="preserve"> leverage</w:t>
      </w:r>
      <w:r w:rsidRPr="00F50D24">
        <w:rPr>
          <w:szCs w:val="22"/>
        </w:rPr>
        <w:t xml:space="preserve"> partially has </w:t>
      </w:r>
      <w:r w:rsidR="000807E3">
        <w:rPr>
          <w:szCs w:val="22"/>
          <w:lang w:val="en-US"/>
        </w:rPr>
        <w:t xml:space="preserve">no </w:t>
      </w:r>
      <w:r w:rsidRPr="00F50D24">
        <w:rPr>
          <w:szCs w:val="22"/>
        </w:rPr>
        <w:t>effect on the</w:t>
      </w:r>
      <w:r w:rsidR="000807E3">
        <w:rPr>
          <w:szCs w:val="22"/>
          <w:lang w:val="en-US"/>
        </w:rPr>
        <w:t xml:space="preserve"> tax avoidance at the </w:t>
      </w:r>
      <w:r w:rsidR="000807E3" w:rsidRPr="000C43E5">
        <w:t>companies are listed on the Indonesian Stock Exchange</w:t>
      </w:r>
      <w:r w:rsidR="000807E3">
        <w:rPr>
          <w:lang w:val="en-US"/>
        </w:rPr>
        <w:t xml:space="preserve">. </w:t>
      </w:r>
      <w:r w:rsidRPr="00F50D24">
        <w:rPr>
          <w:szCs w:val="22"/>
        </w:rPr>
        <w:t xml:space="preserve"> This shows that </w:t>
      </w:r>
      <w:r w:rsidR="008D10A6">
        <w:rPr>
          <w:szCs w:val="22"/>
        </w:rPr>
        <w:t>high or low leverage does not affect the magnitude of tax avoidance.</w:t>
      </w:r>
      <w:r w:rsidR="008D10A6">
        <w:rPr>
          <w:szCs w:val="22"/>
          <w:lang w:val="en-US"/>
        </w:rPr>
        <w:t xml:space="preserve"> </w:t>
      </w:r>
      <w:r w:rsidRPr="00F50D24">
        <w:rPr>
          <w:szCs w:val="22"/>
        </w:rPr>
        <w:t xml:space="preserve">The </w:t>
      </w:r>
      <w:r w:rsidR="000807E3">
        <w:rPr>
          <w:szCs w:val="22"/>
          <w:lang w:val="en-US"/>
        </w:rPr>
        <w:t xml:space="preserve">liquidity variable </w:t>
      </w:r>
      <w:r w:rsidRPr="00F50D24">
        <w:rPr>
          <w:szCs w:val="22"/>
        </w:rPr>
        <w:t xml:space="preserve">partially has a </w:t>
      </w:r>
      <w:r w:rsidR="000807E3">
        <w:rPr>
          <w:szCs w:val="22"/>
          <w:lang w:val="en-US"/>
        </w:rPr>
        <w:t>negative</w:t>
      </w:r>
      <w:r w:rsidRPr="00F50D24">
        <w:rPr>
          <w:szCs w:val="22"/>
        </w:rPr>
        <w:t xml:space="preserve"> and significant effect on the </w:t>
      </w:r>
      <w:r w:rsidR="000807E3">
        <w:rPr>
          <w:szCs w:val="22"/>
          <w:lang w:val="en-US"/>
        </w:rPr>
        <w:t xml:space="preserve">tax avoidance at the </w:t>
      </w:r>
      <w:r w:rsidR="000807E3" w:rsidRPr="000C43E5">
        <w:t xml:space="preserve">companies are listed on </w:t>
      </w:r>
      <w:proofErr w:type="spellStart"/>
      <w:r w:rsidR="000807E3" w:rsidRPr="000C43E5">
        <w:t>the</w:t>
      </w:r>
      <w:proofErr w:type="spellEnd"/>
      <w:r w:rsidR="000807E3" w:rsidRPr="000C43E5">
        <w:t xml:space="preserve"> Indonesian </w:t>
      </w:r>
      <w:proofErr w:type="spellStart"/>
      <w:r w:rsidR="000807E3" w:rsidRPr="000C43E5">
        <w:t>Stock</w:t>
      </w:r>
      <w:proofErr w:type="spellEnd"/>
      <w:r w:rsidR="000807E3" w:rsidRPr="000C43E5">
        <w:t xml:space="preserve"> </w:t>
      </w:r>
      <w:proofErr w:type="spellStart"/>
      <w:r w:rsidR="000807E3" w:rsidRPr="000C43E5">
        <w:t>Excha</w:t>
      </w:r>
      <w:r w:rsidR="000807E3">
        <w:rPr>
          <w:lang w:val="en-US"/>
        </w:rPr>
        <w:t>nge</w:t>
      </w:r>
      <w:proofErr w:type="spellEnd"/>
      <w:r w:rsidR="000807E3">
        <w:rPr>
          <w:lang w:val="en-US"/>
        </w:rPr>
        <w:t xml:space="preserve">, included </w:t>
      </w:r>
      <w:r w:rsidR="000807E3" w:rsidRPr="000C43E5">
        <w:t>in the property, industrial, and infrastructure sectors</w:t>
      </w:r>
      <w:r w:rsidR="000807E3">
        <w:rPr>
          <w:lang w:val="en-US"/>
        </w:rPr>
        <w:t xml:space="preserve">. </w:t>
      </w:r>
      <w:r w:rsidRPr="00F50D24">
        <w:rPr>
          <w:szCs w:val="22"/>
        </w:rPr>
        <w:t xml:space="preserve">This shows that </w:t>
      </w:r>
      <w:r w:rsidR="008D10A6">
        <w:rPr>
          <w:szCs w:val="22"/>
        </w:rPr>
        <w:t>the higher the liquidity that the company has, the lower the tax avoidance. Conversely, the lower the level of liquidity a company has, the higher the likelihood of the company to commit tax avoidance.</w:t>
      </w:r>
    </w:p>
    <w:p w14:paraId="5730DA5C" w14:textId="77777777" w:rsidR="009B7B92" w:rsidRPr="009B7B92" w:rsidRDefault="009B7B92" w:rsidP="00C40A65">
      <w:pPr>
        <w:pStyle w:val="BodyText"/>
        <w:ind w:firstLine="720"/>
        <w:jc w:val="both"/>
        <w:rPr>
          <w:szCs w:val="22"/>
        </w:rPr>
      </w:pPr>
    </w:p>
    <w:p w14:paraId="0835E2AD" w14:textId="77777777" w:rsidR="00C40A65" w:rsidRDefault="00C40A65" w:rsidP="00C40A65">
      <w:pPr>
        <w:pStyle w:val="BodyText"/>
        <w:jc w:val="both"/>
        <w:rPr>
          <w:b/>
          <w:bCs/>
        </w:rPr>
      </w:pPr>
      <w:r w:rsidRPr="00F50D24">
        <w:rPr>
          <w:b/>
          <w:bCs/>
        </w:rPr>
        <w:t>Research Limitations</w:t>
      </w:r>
    </w:p>
    <w:p w14:paraId="1645C5DD" w14:textId="77777777" w:rsidR="009B7B92" w:rsidRPr="009B7B92" w:rsidRDefault="009B7B92" w:rsidP="00C40A65">
      <w:pPr>
        <w:pStyle w:val="BodyText"/>
        <w:jc w:val="both"/>
        <w:rPr>
          <w:b/>
          <w:bCs/>
        </w:rPr>
      </w:pPr>
    </w:p>
    <w:p w14:paraId="6337E634" w14:textId="4D2422E2" w:rsidR="008D10A6" w:rsidRPr="008D10A6" w:rsidRDefault="008D10A6" w:rsidP="008D10A6">
      <w:pPr>
        <w:pStyle w:val="BodyText"/>
        <w:ind w:firstLine="709"/>
        <w:jc w:val="both"/>
      </w:pPr>
      <w:r w:rsidRPr="008D10A6">
        <w:t>The limitation of this study lies in the data taken as a sample. As is known, there are 780 companies listed on the Indonesia Stock Exchange which are divided into 13 sectors. Meanwhile, this study only used 166 sample companies consisting of 3 sectors, namely property, industry, and infrastructure. Researchers have limited time to take all companies listed on the Indonesia Stock Exchange to be studied with 4 variables used. Thus, this study limits the number of samples and data in accordance with those outlined above.</w:t>
      </w:r>
    </w:p>
    <w:p w14:paraId="2CE394BB" w14:textId="77777777" w:rsidR="008D10A6" w:rsidRDefault="008D10A6" w:rsidP="00C40A65">
      <w:pPr>
        <w:pStyle w:val="BodyText"/>
        <w:jc w:val="both"/>
        <w:rPr>
          <w:b/>
          <w:bCs/>
        </w:rPr>
      </w:pPr>
    </w:p>
    <w:p w14:paraId="466BD234" w14:textId="52DABF23" w:rsidR="00C40A65" w:rsidRPr="00AF441C" w:rsidRDefault="00C40A65" w:rsidP="00C40A65">
      <w:pPr>
        <w:pStyle w:val="BodyText"/>
        <w:jc w:val="both"/>
      </w:pPr>
      <w:r w:rsidRPr="00F50D24">
        <w:rPr>
          <w:b/>
          <w:bCs/>
        </w:rPr>
        <w:t>Suggestion</w:t>
      </w:r>
    </w:p>
    <w:p w14:paraId="272A312D" w14:textId="4158D981" w:rsidR="008D10A6" w:rsidRPr="00F50D24" w:rsidRDefault="008D10A6" w:rsidP="008D10A6">
      <w:pPr>
        <w:pStyle w:val="BodyText"/>
        <w:ind w:firstLine="720"/>
        <w:jc w:val="both"/>
      </w:pPr>
      <w:r>
        <w:rPr>
          <w:bCs/>
          <w:lang w:val="en-US"/>
        </w:rPr>
        <w:t xml:space="preserve">Based on the results of the study, researchers advise companies to be able to manage their liquidity so that they can pay their obligations in accordance with a predetermined timeline. Liquidity difficulties cause companies to think about tax avoidance both legally and illegally which actually endangers the company itself in front of the Directorate General of </w:t>
      </w:r>
      <w:proofErr w:type="gramStart"/>
      <w:r>
        <w:rPr>
          <w:bCs/>
          <w:lang w:val="en-US"/>
        </w:rPr>
        <w:t>Taxation..</w:t>
      </w:r>
      <w:proofErr w:type="gramEnd"/>
    </w:p>
    <w:p w14:paraId="316BF673" w14:textId="105627F1" w:rsidR="00C40A65" w:rsidRPr="008D10A6" w:rsidRDefault="00C40A65" w:rsidP="00C40A65">
      <w:pPr>
        <w:pStyle w:val="BodyText"/>
        <w:ind w:firstLine="720"/>
        <w:jc w:val="both"/>
      </w:pPr>
      <w:r w:rsidRPr="008D10A6">
        <w:t>.</w:t>
      </w:r>
    </w:p>
    <w:p w14:paraId="37C4146B" w14:textId="35DF59D0" w:rsidR="008D10A6" w:rsidRDefault="008D10A6" w:rsidP="008D10A6">
      <w:pPr>
        <w:jc w:val="both"/>
        <w:rPr>
          <w:b/>
          <w:bCs/>
          <w:color w:val="000000"/>
          <w:sz w:val="24"/>
          <w:szCs w:val="24"/>
        </w:rPr>
      </w:pPr>
      <w:r w:rsidRPr="008D10A6">
        <w:rPr>
          <w:b/>
          <w:bCs/>
          <w:color w:val="000000"/>
          <w:sz w:val="24"/>
          <w:szCs w:val="24"/>
        </w:rPr>
        <w:t>REFERENCES</w:t>
      </w:r>
    </w:p>
    <w:p w14:paraId="548549EB" w14:textId="77777777" w:rsidR="008D10A6" w:rsidRPr="008D10A6" w:rsidRDefault="008D10A6" w:rsidP="008D10A6">
      <w:pPr>
        <w:jc w:val="both"/>
        <w:rPr>
          <w:b/>
          <w:bCs/>
          <w:color w:val="000000"/>
          <w:sz w:val="24"/>
          <w:szCs w:val="24"/>
        </w:rPr>
      </w:pPr>
    </w:p>
    <w:p w14:paraId="78502DD3" w14:textId="77777777" w:rsidR="008D10A6" w:rsidRPr="008D10A6" w:rsidRDefault="008D10A6" w:rsidP="008D10A6">
      <w:pPr>
        <w:adjustRightInd w:val="0"/>
        <w:ind w:left="480" w:hanging="480"/>
        <w:jc w:val="both"/>
        <w:rPr>
          <w:noProof/>
          <w:sz w:val="24"/>
          <w:szCs w:val="24"/>
        </w:rPr>
      </w:pPr>
      <w:r w:rsidRPr="008D10A6">
        <w:rPr>
          <w:color w:val="000000"/>
          <w:sz w:val="24"/>
          <w:szCs w:val="24"/>
        </w:rPr>
        <w:fldChar w:fldCharType="begin" w:fldLock="1"/>
      </w:r>
      <w:r w:rsidRPr="008D10A6">
        <w:rPr>
          <w:color w:val="000000"/>
          <w:sz w:val="24"/>
          <w:szCs w:val="24"/>
        </w:rPr>
        <w:instrText xml:space="preserve">ADDIN Mendeley Bibliography CSL_BIBLIOGRAPHY </w:instrText>
      </w:r>
      <w:r w:rsidRPr="008D10A6">
        <w:rPr>
          <w:color w:val="000000"/>
          <w:sz w:val="24"/>
          <w:szCs w:val="24"/>
        </w:rPr>
        <w:fldChar w:fldCharType="separate"/>
      </w:r>
      <w:r w:rsidRPr="008D10A6">
        <w:rPr>
          <w:noProof/>
          <w:sz w:val="24"/>
          <w:szCs w:val="24"/>
        </w:rPr>
        <w:t xml:space="preserve">Abdullah, I. (2020). Pengaruh Likuiditas Dan Leverage Terhadap Penghindaran Pajak Pada Perusahaan Makanan Dan Minuman. </w:t>
      </w:r>
      <w:r w:rsidRPr="008D10A6">
        <w:rPr>
          <w:i/>
          <w:iCs/>
          <w:noProof/>
          <w:sz w:val="24"/>
          <w:szCs w:val="24"/>
        </w:rPr>
        <w:t>Jurnal Riset Akuntansi Dan Bisnis</w:t>
      </w:r>
      <w:r w:rsidRPr="008D10A6">
        <w:rPr>
          <w:noProof/>
          <w:sz w:val="24"/>
          <w:szCs w:val="24"/>
        </w:rPr>
        <w:t xml:space="preserve">, </w:t>
      </w:r>
      <w:r w:rsidRPr="008D10A6">
        <w:rPr>
          <w:i/>
          <w:iCs/>
          <w:noProof/>
          <w:sz w:val="24"/>
          <w:szCs w:val="24"/>
        </w:rPr>
        <w:t>20</w:t>
      </w:r>
      <w:r w:rsidRPr="008D10A6">
        <w:rPr>
          <w:noProof/>
          <w:sz w:val="24"/>
          <w:szCs w:val="24"/>
        </w:rPr>
        <w:t>(1), 16–22. https://doi.org/10.30596/jrab.v20i1.4755</w:t>
      </w:r>
    </w:p>
    <w:p w14:paraId="36FAF981"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Agusti, W. Y. (2013). Pengaruh Profitabilitas, Leverage, dan Corporate Governance (Studi Empiris Pada Perusahaan Manufaktur yang Terdaftar di BEI tahu 2009-2012. </w:t>
      </w:r>
      <w:r w:rsidRPr="008D10A6">
        <w:rPr>
          <w:i/>
          <w:iCs/>
          <w:noProof/>
          <w:sz w:val="24"/>
          <w:szCs w:val="24"/>
        </w:rPr>
        <w:t>Jurnal Simposium Nasional Akuntansi</w:t>
      </w:r>
      <w:r w:rsidRPr="008D10A6">
        <w:rPr>
          <w:noProof/>
          <w:sz w:val="24"/>
          <w:szCs w:val="24"/>
        </w:rPr>
        <w:t xml:space="preserve">, </w:t>
      </w:r>
      <w:r w:rsidRPr="008D10A6">
        <w:rPr>
          <w:i/>
          <w:iCs/>
          <w:noProof/>
          <w:sz w:val="24"/>
          <w:szCs w:val="24"/>
        </w:rPr>
        <w:t>4</w:t>
      </w:r>
      <w:r w:rsidRPr="008D10A6">
        <w:rPr>
          <w:noProof/>
          <w:sz w:val="24"/>
          <w:szCs w:val="24"/>
        </w:rPr>
        <w:t>(2), 1–32.</w:t>
      </w:r>
    </w:p>
    <w:p w14:paraId="55429B76"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Ariawan, I. M. A. R., &amp; Setiawan, P. E. (2017). Pengaruh Dewan Komisaris Independen, Kepemilikan Institusional, Profitabilitas Dan Leverge Terhadap Tax Avoidance. </w:t>
      </w:r>
      <w:r w:rsidRPr="008D10A6">
        <w:rPr>
          <w:i/>
          <w:iCs/>
          <w:noProof/>
          <w:sz w:val="24"/>
          <w:szCs w:val="24"/>
        </w:rPr>
        <w:t>E-Jurnal Akuntansi</w:t>
      </w:r>
      <w:r w:rsidRPr="008D10A6">
        <w:rPr>
          <w:noProof/>
          <w:sz w:val="24"/>
          <w:szCs w:val="24"/>
        </w:rPr>
        <w:t xml:space="preserve">, </w:t>
      </w:r>
      <w:r w:rsidRPr="008D10A6">
        <w:rPr>
          <w:i/>
          <w:iCs/>
          <w:noProof/>
          <w:sz w:val="24"/>
          <w:szCs w:val="24"/>
        </w:rPr>
        <w:t>18</w:t>
      </w:r>
      <w:r w:rsidRPr="008D10A6">
        <w:rPr>
          <w:noProof/>
          <w:sz w:val="24"/>
          <w:szCs w:val="24"/>
        </w:rPr>
        <w:t>(3), 1831–1859.</w:t>
      </w:r>
    </w:p>
    <w:p w14:paraId="7752D049" w14:textId="77777777" w:rsidR="008D10A6" w:rsidRPr="008D10A6" w:rsidRDefault="008D10A6" w:rsidP="008D10A6">
      <w:pPr>
        <w:ind w:left="567" w:hanging="567"/>
        <w:jc w:val="both"/>
        <w:rPr>
          <w:color w:val="000000"/>
          <w:sz w:val="24"/>
          <w:szCs w:val="24"/>
        </w:rPr>
      </w:pPr>
      <w:r w:rsidRPr="008D10A6">
        <w:rPr>
          <w:color w:val="000000"/>
          <w:sz w:val="24"/>
          <w:szCs w:val="24"/>
        </w:rPr>
        <w:t xml:space="preserve">Arikunto, S. 2010. </w:t>
      </w:r>
      <w:r w:rsidRPr="008D10A6">
        <w:rPr>
          <w:i/>
          <w:iCs/>
          <w:color w:val="000000"/>
          <w:sz w:val="24"/>
          <w:szCs w:val="24"/>
        </w:rPr>
        <w:t>Prosedur Penelitian Suatu Pendekatan Praktik</w:t>
      </w:r>
      <w:r w:rsidRPr="008D10A6">
        <w:rPr>
          <w:color w:val="000000"/>
          <w:sz w:val="24"/>
          <w:szCs w:val="24"/>
        </w:rPr>
        <w:t>. Jakarta: Rineka Cipta</w:t>
      </w:r>
    </w:p>
    <w:p w14:paraId="3F0D793B"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Astuti, T. P., &amp; Aryani, Y. A. (2017). Tren Penghindaran Pajak Perusahaan Manufaktur Di Indonesia Yang Terdaftar Di Bei Tahun 2001-2014. </w:t>
      </w:r>
      <w:r w:rsidRPr="008D10A6">
        <w:rPr>
          <w:i/>
          <w:iCs/>
          <w:noProof/>
          <w:sz w:val="24"/>
          <w:szCs w:val="24"/>
        </w:rPr>
        <w:t>Jurnal Akuntansi</w:t>
      </w:r>
      <w:r w:rsidRPr="008D10A6">
        <w:rPr>
          <w:noProof/>
          <w:sz w:val="24"/>
          <w:szCs w:val="24"/>
        </w:rPr>
        <w:t xml:space="preserve">, </w:t>
      </w:r>
      <w:r w:rsidRPr="008D10A6">
        <w:rPr>
          <w:i/>
          <w:iCs/>
          <w:noProof/>
          <w:sz w:val="24"/>
          <w:szCs w:val="24"/>
        </w:rPr>
        <w:t>20</w:t>
      </w:r>
      <w:r w:rsidRPr="008D10A6">
        <w:rPr>
          <w:noProof/>
          <w:sz w:val="24"/>
          <w:szCs w:val="24"/>
        </w:rPr>
        <w:t>(3), 375–388. https://doi.org/10.24912/ja.v20i3.4</w:t>
      </w:r>
    </w:p>
    <w:p w14:paraId="02F097E4"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Ayu, G., Lestari, W., &amp; Putri, I. G. A. M. A. D. (2017). Pengaruh Corporate Governance, Koneksi Politik, Dan Leverage Terhadap Penghindaran Pajak. </w:t>
      </w:r>
      <w:r w:rsidRPr="008D10A6">
        <w:rPr>
          <w:i/>
          <w:iCs/>
          <w:noProof/>
          <w:sz w:val="24"/>
          <w:szCs w:val="24"/>
        </w:rPr>
        <w:t>E-Jurnal Akuntansi</w:t>
      </w:r>
      <w:r w:rsidRPr="008D10A6">
        <w:rPr>
          <w:noProof/>
          <w:sz w:val="24"/>
          <w:szCs w:val="24"/>
        </w:rPr>
        <w:t xml:space="preserve">, </w:t>
      </w:r>
      <w:r w:rsidRPr="008D10A6">
        <w:rPr>
          <w:i/>
          <w:iCs/>
          <w:noProof/>
          <w:sz w:val="24"/>
          <w:szCs w:val="24"/>
        </w:rPr>
        <w:t>18</w:t>
      </w:r>
      <w:r w:rsidRPr="008D10A6">
        <w:rPr>
          <w:noProof/>
          <w:sz w:val="24"/>
          <w:szCs w:val="24"/>
        </w:rPr>
        <w:t>(3), 2028–2054.</w:t>
      </w:r>
    </w:p>
    <w:p w14:paraId="62FFB5EE"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Barli, H. (2018). Pengaruh Leverage Dan Firm Size Terhadap Penghindaran Pajak. </w:t>
      </w:r>
      <w:r w:rsidRPr="008D10A6">
        <w:rPr>
          <w:i/>
          <w:iCs/>
          <w:noProof/>
          <w:sz w:val="24"/>
          <w:szCs w:val="24"/>
        </w:rPr>
        <w:t>Jurnal Ilmiah Akuntansi Universitas Pamulang</w:t>
      </w:r>
      <w:r w:rsidRPr="008D10A6">
        <w:rPr>
          <w:noProof/>
          <w:sz w:val="24"/>
          <w:szCs w:val="24"/>
        </w:rPr>
        <w:t xml:space="preserve">, </w:t>
      </w:r>
      <w:r w:rsidRPr="008D10A6">
        <w:rPr>
          <w:i/>
          <w:iCs/>
          <w:noProof/>
          <w:sz w:val="24"/>
          <w:szCs w:val="24"/>
        </w:rPr>
        <w:t>6</w:t>
      </w:r>
      <w:r w:rsidRPr="008D10A6">
        <w:rPr>
          <w:noProof/>
          <w:sz w:val="24"/>
          <w:szCs w:val="24"/>
        </w:rPr>
        <w:t xml:space="preserve">(2), 223. </w:t>
      </w:r>
      <w:r w:rsidRPr="008D10A6">
        <w:rPr>
          <w:noProof/>
          <w:sz w:val="24"/>
          <w:szCs w:val="24"/>
        </w:rPr>
        <w:lastRenderedPageBreak/>
        <w:t>https://doi.org/10.32493/jiaup.v6i2.1956</w:t>
      </w:r>
    </w:p>
    <w:p w14:paraId="06F35CD5" w14:textId="77777777" w:rsidR="008D10A6" w:rsidRPr="008D10A6" w:rsidRDefault="008D10A6" w:rsidP="008D10A6">
      <w:pPr>
        <w:ind w:left="426" w:hanging="426"/>
        <w:jc w:val="both"/>
        <w:rPr>
          <w:color w:val="000000"/>
          <w:sz w:val="24"/>
          <w:szCs w:val="24"/>
          <w:lang w:eastAsia="en-ID"/>
        </w:rPr>
      </w:pPr>
      <w:r w:rsidRPr="008D10A6">
        <w:rPr>
          <w:color w:val="000000"/>
          <w:sz w:val="24"/>
          <w:szCs w:val="24"/>
          <w:lang w:eastAsia="en-ID"/>
        </w:rPr>
        <w:t xml:space="preserve">Brigham, Eugene F. dan Joel F. Houston. 2011. </w:t>
      </w:r>
      <w:r w:rsidRPr="008D10A6">
        <w:rPr>
          <w:i/>
          <w:iCs/>
          <w:color w:val="000000"/>
          <w:sz w:val="24"/>
          <w:szCs w:val="24"/>
          <w:lang w:eastAsia="en-ID"/>
        </w:rPr>
        <w:t>Dasar-dasar Manajemen Keuangan</w:t>
      </w:r>
      <w:r w:rsidRPr="008D10A6">
        <w:rPr>
          <w:color w:val="000000"/>
          <w:sz w:val="24"/>
          <w:szCs w:val="24"/>
          <w:lang w:eastAsia="en-ID"/>
        </w:rPr>
        <w:t>. Edisi 11. Buku 2. Jakarta : Salemba Empat.</w:t>
      </w:r>
    </w:p>
    <w:p w14:paraId="413D1B0A"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Budianti, S., &amp; Curry, K. (2018). Pengaruh Profitabilitas, likuiditas, dan Capital Intensity Terhadap Penghindaran Pajak (Tax Avoidance). </w:t>
      </w:r>
      <w:r w:rsidRPr="008D10A6">
        <w:rPr>
          <w:i/>
          <w:iCs/>
          <w:noProof/>
          <w:sz w:val="24"/>
          <w:szCs w:val="24"/>
        </w:rPr>
        <w:t>Prosiding Seminar Nasional Cendekiawan 4</w:t>
      </w:r>
      <w:r w:rsidRPr="008D10A6">
        <w:rPr>
          <w:noProof/>
          <w:sz w:val="24"/>
          <w:szCs w:val="24"/>
        </w:rPr>
        <w:t>, Jakarta.</w:t>
      </w:r>
    </w:p>
    <w:p w14:paraId="6043294B" w14:textId="77777777" w:rsidR="008D10A6" w:rsidRPr="008D10A6" w:rsidRDefault="008D10A6" w:rsidP="008D10A6">
      <w:pPr>
        <w:adjustRightInd w:val="0"/>
        <w:ind w:left="480" w:hanging="480"/>
        <w:jc w:val="both"/>
        <w:rPr>
          <w:color w:val="000000"/>
          <w:sz w:val="24"/>
          <w:szCs w:val="24"/>
          <w:lang w:eastAsia="en-ID"/>
        </w:rPr>
      </w:pPr>
      <w:r w:rsidRPr="008D10A6">
        <w:rPr>
          <w:color w:val="000000"/>
          <w:sz w:val="24"/>
          <w:szCs w:val="24"/>
          <w:lang w:eastAsia="en-ID"/>
        </w:rPr>
        <w:t>Chariri, A &amp; Ghozali, Imam. 2007. “</w:t>
      </w:r>
      <w:r w:rsidRPr="008D10A6">
        <w:rPr>
          <w:i/>
          <w:iCs/>
          <w:color w:val="000000"/>
          <w:sz w:val="24"/>
          <w:szCs w:val="24"/>
          <w:lang w:eastAsia="en-ID"/>
        </w:rPr>
        <w:t>Teori Akuntansi”</w:t>
      </w:r>
      <w:r w:rsidRPr="008D10A6">
        <w:rPr>
          <w:color w:val="000000"/>
          <w:sz w:val="24"/>
          <w:szCs w:val="24"/>
          <w:lang w:eastAsia="en-ID"/>
        </w:rPr>
        <w:t xml:space="preserve">. Semarang: Badan Penerbit </w:t>
      </w:r>
      <w:r w:rsidRPr="008D10A6">
        <w:rPr>
          <w:color w:val="000000"/>
          <w:sz w:val="24"/>
          <w:szCs w:val="24"/>
          <w:lang w:eastAsia="en-ID"/>
        </w:rPr>
        <w:br/>
        <w:t>Diponegoro.</w:t>
      </w:r>
    </w:p>
    <w:p w14:paraId="0B941A36"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Darmawan, I., &amp; Sukartha, I. (2014). Pengaruh Penerapan Corporate Governance, Leverage, Roa, Dan Ukuran Perusahaan Pada Penghindaran Pajak. </w:t>
      </w:r>
      <w:r w:rsidRPr="008D10A6">
        <w:rPr>
          <w:i/>
          <w:iCs/>
          <w:noProof/>
          <w:sz w:val="24"/>
          <w:szCs w:val="24"/>
        </w:rPr>
        <w:t>E-Jurnal Akuntansi</w:t>
      </w:r>
      <w:r w:rsidRPr="008D10A6">
        <w:rPr>
          <w:noProof/>
          <w:sz w:val="24"/>
          <w:szCs w:val="24"/>
        </w:rPr>
        <w:t xml:space="preserve">, </w:t>
      </w:r>
      <w:r w:rsidRPr="008D10A6">
        <w:rPr>
          <w:i/>
          <w:iCs/>
          <w:noProof/>
          <w:sz w:val="24"/>
          <w:szCs w:val="24"/>
        </w:rPr>
        <w:t>9</w:t>
      </w:r>
      <w:r w:rsidRPr="008D10A6">
        <w:rPr>
          <w:noProof/>
          <w:sz w:val="24"/>
          <w:szCs w:val="24"/>
        </w:rPr>
        <w:t>(1), 143–161.</w:t>
      </w:r>
    </w:p>
    <w:p w14:paraId="4BBE35AD"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Dewinta, I., &amp; Setiawan, P. (2016). Pengaruh Ukuran Perusahaan, Umur Perusahaan, Profitabilitas, Leverage, Dan Pertumbuhan Penjualan Terhadap Tax Avoidance. </w:t>
      </w:r>
      <w:r w:rsidRPr="008D10A6">
        <w:rPr>
          <w:i/>
          <w:iCs/>
          <w:noProof/>
          <w:sz w:val="24"/>
          <w:szCs w:val="24"/>
        </w:rPr>
        <w:t>E-Jurnal Akuntansi Universitas Udayana</w:t>
      </w:r>
      <w:r w:rsidRPr="008D10A6">
        <w:rPr>
          <w:noProof/>
          <w:sz w:val="24"/>
          <w:szCs w:val="24"/>
        </w:rPr>
        <w:t xml:space="preserve">, </w:t>
      </w:r>
      <w:r w:rsidRPr="008D10A6">
        <w:rPr>
          <w:i/>
          <w:iCs/>
          <w:noProof/>
          <w:sz w:val="24"/>
          <w:szCs w:val="24"/>
        </w:rPr>
        <w:t>14</w:t>
      </w:r>
      <w:r w:rsidRPr="008D10A6">
        <w:rPr>
          <w:noProof/>
          <w:sz w:val="24"/>
          <w:szCs w:val="24"/>
        </w:rPr>
        <w:t>(3), 1584–1615.</w:t>
      </w:r>
    </w:p>
    <w:p w14:paraId="5B1E0031"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Hastuti, W. (2014). Pengaruh Ukuran Perusahaan, Pertumbuhan Perusahaan, Dan Tipe Industri Terhadap Pengungkapan Tanggung Jawab Sosial Perusahaan Dalam Laporan Tahunan (Studi Empiris pada perusahaan Manufaktur yang listing di BEI). </w:t>
      </w:r>
      <w:r w:rsidRPr="008D10A6">
        <w:rPr>
          <w:i/>
          <w:iCs/>
          <w:noProof/>
          <w:sz w:val="24"/>
          <w:szCs w:val="24"/>
        </w:rPr>
        <w:t>Jurnal Akuntansi</w:t>
      </w:r>
      <w:r w:rsidRPr="008D10A6">
        <w:rPr>
          <w:noProof/>
          <w:sz w:val="24"/>
          <w:szCs w:val="24"/>
        </w:rPr>
        <w:t xml:space="preserve">, </w:t>
      </w:r>
      <w:r w:rsidRPr="008D10A6">
        <w:rPr>
          <w:i/>
          <w:iCs/>
          <w:noProof/>
          <w:sz w:val="24"/>
          <w:szCs w:val="24"/>
        </w:rPr>
        <w:t>39</w:t>
      </w:r>
      <w:r w:rsidRPr="008D10A6">
        <w:rPr>
          <w:noProof/>
          <w:sz w:val="24"/>
          <w:szCs w:val="24"/>
        </w:rPr>
        <w:t>(1), 1–24. http://dx.doi.org/10.1016/j.biochi.2015.03.025%0Ahttp://dx.doi.org/10.1038/nature10402%0Ahttp://dx.doi.org/10.1038/nature21059%0Ahttp://journal.stainkudus.ac.id/index.php/equilibrium/article/view/1268/1127%0Ahttp://dx.doi.org/10.1038/nrmicro2577%0Ahttp://</w:t>
      </w:r>
    </w:p>
    <w:p w14:paraId="28FA498B"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Jensen, M. C., &amp; Meckling, W. H. (1976). Theory of The Firm: Managerial Behavior, Agency Cost, and Ownership Structure. </w:t>
      </w:r>
      <w:r w:rsidRPr="008D10A6">
        <w:rPr>
          <w:i/>
          <w:iCs/>
          <w:noProof/>
          <w:sz w:val="24"/>
          <w:szCs w:val="24"/>
        </w:rPr>
        <w:t>Human Relations</w:t>
      </w:r>
      <w:r w:rsidRPr="008D10A6">
        <w:rPr>
          <w:noProof/>
          <w:sz w:val="24"/>
          <w:szCs w:val="24"/>
        </w:rPr>
        <w:t xml:space="preserve">, </w:t>
      </w:r>
      <w:r w:rsidRPr="008D10A6">
        <w:rPr>
          <w:i/>
          <w:iCs/>
          <w:noProof/>
          <w:sz w:val="24"/>
          <w:szCs w:val="24"/>
        </w:rPr>
        <w:t>72</w:t>
      </w:r>
      <w:r w:rsidRPr="008D10A6">
        <w:rPr>
          <w:noProof/>
          <w:sz w:val="24"/>
          <w:szCs w:val="24"/>
        </w:rPr>
        <w:t>(10), 1671–1696. https://doi.org/10.1177/0018726718812602</w:t>
      </w:r>
    </w:p>
    <w:p w14:paraId="24E428FF" w14:textId="77777777" w:rsidR="008D10A6" w:rsidRPr="008D10A6" w:rsidRDefault="008D10A6" w:rsidP="008D10A6">
      <w:pPr>
        <w:ind w:left="426" w:hanging="426"/>
        <w:jc w:val="both"/>
        <w:rPr>
          <w:color w:val="000000"/>
          <w:sz w:val="24"/>
          <w:szCs w:val="24"/>
        </w:rPr>
      </w:pPr>
      <w:r w:rsidRPr="008D10A6">
        <w:rPr>
          <w:color w:val="000000"/>
          <w:sz w:val="24"/>
          <w:szCs w:val="24"/>
        </w:rPr>
        <w:t>Kementerian Keuangan Republik Indonesia. Nota Keuangan Tahun 2019</w:t>
      </w:r>
    </w:p>
    <w:p w14:paraId="60058DC2"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Kurniasih, T., &amp; Sari, M. M. R. (2017). The Influence of Profitability, Leverage, Firm Size and Capital Intensity Towards Tax Avoidance. </w:t>
      </w:r>
      <w:r w:rsidRPr="008D10A6">
        <w:rPr>
          <w:i/>
          <w:iCs/>
          <w:noProof/>
          <w:sz w:val="24"/>
          <w:szCs w:val="24"/>
        </w:rPr>
        <w:t>International Journal of Accounting and Taxation</w:t>
      </w:r>
      <w:r w:rsidRPr="008D10A6">
        <w:rPr>
          <w:noProof/>
          <w:sz w:val="24"/>
          <w:szCs w:val="24"/>
        </w:rPr>
        <w:t xml:space="preserve">, </w:t>
      </w:r>
      <w:r w:rsidRPr="008D10A6">
        <w:rPr>
          <w:i/>
          <w:iCs/>
          <w:noProof/>
          <w:sz w:val="24"/>
          <w:szCs w:val="24"/>
        </w:rPr>
        <w:t>5</w:t>
      </w:r>
      <w:r w:rsidRPr="008D10A6">
        <w:rPr>
          <w:noProof/>
          <w:sz w:val="24"/>
          <w:szCs w:val="24"/>
        </w:rPr>
        <w:t>(2), 58–66. https://doi.org/10.15640/ijat.v5n2a3</w:t>
      </w:r>
    </w:p>
    <w:p w14:paraId="501C447C"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Luh, N., &amp; Puspita, P. (2017). Pengaruh Ukuran Perusahaan, Leverage, Profitabilitas dan Corporate Social Responsibility Terhadap Penghindaran Pajak (Tax Avoidance). </w:t>
      </w:r>
      <w:r w:rsidRPr="008D10A6">
        <w:rPr>
          <w:i/>
          <w:iCs/>
          <w:noProof/>
          <w:sz w:val="24"/>
          <w:szCs w:val="24"/>
        </w:rPr>
        <w:t>E-Jurnal Akuntansi</w:t>
      </w:r>
      <w:r w:rsidRPr="008D10A6">
        <w:rPr>
          <w:noProof/>
          <w:sz w:val="24"/>
          <w:szCs w:val="24"/>
        </w:rPr>
        <w:t xml:space="preserve">, </w:t>
      </w:r>
      <w:r w:rsidRPr="008D10A6">
        <w:rPr>
          <w:i/>
          <w:iCs/>
          <w:noProof/>
          <w:sz w:val="24"/>
          <w:szCs w:val="24"/>
        </w:rPr>
        <w:t>21</w:t>
      </w:r>
      <w:r w:rsidRPr="008D10A6">
        <w:rPr>
          <w:noProof/>
          <w:sz w:val="24"/>
          <w:szCs w:val="24"/>
        </w:rPr>
        <w:t>(2), 882–911. https://doi.org/10.24843/EJA.2017.v21.i02.p01</w:t>
      </w:r>
    </w:p>
    <w:p w14:paraId="677C304C"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Masri, I., &amp; Martani, D. (2012). Pengaruh Tax Avoidance Terhadap Cost of Debt. </w:t>
      </w:r>
      <w:r w:rsidRPr="008D10A6">
        <w:rPr>
          <w:i/>
          <w:iCs/>
          <w:noProof/>
          <w:sz w:val="24"/>
          <w:szCs w:val="24"/>
        </w:rPr>
        <w:t>Simposium Nasional Akuntansi XV</w:t>
      </w:r>
      <w:r w:rsidRPr="008D10A6">
        <w:rPr>
          <w:noProof/>
          <w:sz w:val="24"/>
          <w:szCs w:val="24"/>
        </w:rPr>
        <w:t xml:space="preserve">, </w:t>
      </w:r>
      <w:r w:rsidRPr="008D10A6">
        <w:rPr>
          <w:i/>
          <w:iCs/>
          <w:noProof/>
          <w:sz w:val="24"/>
          <w:szCs w:val="24"/>
        </w:rPr>
        <w:t>1</w:t>
      </w:r>
      <w:r w:rsidRPr="008D10A6">
        <w:rPr>
          <w:noProof/>
          <w:sz w:val="24"/>
          <w:szCs w:val="24"/>
        </w:rPr>
        <w:t>, 1–27. https://d1wqtxts1xzle7.cloudfront.net/52144476/Pengaruh_Tax_Avoidance_Terhadap_Cost_Of_Debt.pdf?1489468749=&amp;response-content-disposition=inline%3B+filename%3dpengaruh_Tax_Avoidance_Terhadap_Cost_Of.pdf&amp;Expires=1619975391&amp;Signature=HML7A1Db6NWHZSDztiTGXE9q</w:t>
      </w:r>
    </w:p>
    <w:p w14:paraId="2255B8FD"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Puspita, A., &amp; Priyadi, M. P. (2017). Pengaruh Intellectual Capital dan Corporate Governance Terhadap Kinerja Perusahaan. </w:t>
      </w:r>
      <w:r w:rsidRPr="008D10A6">
        <w:rPr>
          <w:i/>
          <w:iCs/>
          <w:noProof/>
          <w:sz w:val="24"/>
          <w:szCs w:val="24"/>
        </w:rPr>
        <w:t>Jurnal Ilmu &amp; Riset Akuntansi</w:t>
      </w:r>
      <w:r w:rsidRPr="008D10A6">
        <w:rPr>
          <w:noProof/>
          <w:sz w:val="24"/>
          <w:szCs w:val="24"/>
        </w:rPr>
        <w:t xml:space="preserve">, </w:t>
      </w:r>
      <w:r w:rsidRPr="008D10A6">
        <w:rPr>
          <w:i/>
          <w:iCs/>
          <w:noProof/>
          <w:sz w:val="24"/>
          <w:szCs w:val="24"/>
        </w:rPr>
        <w:t>6</w:t>
      </w:r>
      <w:r w:rsidRPr="008D10A6">
        <w:rPr>
          <w:noProof/>
          <w:sz w:val="24"/>
          <w:szCs w:val="24"/>
        </w:rPr>
        <w:t>(7), 1–20.</w:t>
      </w:r>
    </w:p>
    <w:p w14:paraId="4DA69288"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Suprapti, E. (2017). Pengaruh Tekanan Keuangan Terhadap Penghindaran Pajak. </w:t>
      </w:r>
      <w:r w:rsidRPr="008D10A6">
        <w:rPr>
          <w:i/>
          <w:iCs/>
          <w:noProof/>
          <w:sz w:val="24"/>
          <w:szCs w:val="24"/>
        </w:rPr>
        <w:t>Jurnal Reviu Akuntansi Dan Keuangan</w:t>
      </w:r>
      <w:r w:rsidRPr="008D10A6">
        <w:rPr>
          <w:noProof/>
          <w:sz w:val="24"/>
          <w:szCs w:val="24"/>
        </w:rPr>
        <w:t xml:space="preserve">, </w:t>
      </w:r>
      <w:r w:rsidRPr="008D10A6">
        <w:rPr>
          <w:i/>
          <w:iCs/>
          <w:noProof/>
          <w:sz w:val="24"/>
          <w:szCs w:val="24"/>
        </w:rPr>
        <w:t>7</w:t>
      </w:r>
      <w:r w:rsidRPr="008D10A6">
        <w:rPr>
          <w:noProof/>
          <w:sz w:val="24"/>
          <w:szCs w:val="24"/>
        </w:rPr>
        <w:t>(2), 1013. https://doi.org/10.22219/jrak.v7i2.15</w:t>
      </w:r>
    </w:p>
    <w:p w14:paraId="0A505655"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Suryani, A. B. (2012). Menyelisik Pajak Perusahaan Global. </w:t>
      </w:r>
      <w:r w:rsidRPr="008D10A6">
        <w:rPr>
          <w:i/>
          <w:iCs/>
          <w:noProof/>
          <w:sz w:val="24"/>
          <w:szCs w:val="24"/>
        </w:rPr>
        <w:t>Jurnal Pajak</w:t>
      </w:r>
      <w:r w:rsidRPr="008D10A6">
        <w:rPr>
          <w:noProof/>
          <w:sz w:val="24"/>
          <w:szCs w:val="24"/>
        </w:rPr>
        <w:t>, 3–5. https://www.kemenkeu.go.id/sites/default/files/artikel_pajak_170513.pdf</w:t>
      </w:r>
    </w:p>
    <w:p w14:paraId="470CB612" w14:textId="77777777" w:rsidR="008D10A6" w:rsidRPr="008D10A6" w:rsidRDefault="008D10A6" w:rsidP="008D10A6">
      <w:pPr>
        <w:adjustRightInd w:val="0"/>
        <w:ind w:left="480" w:hanging="480"/>
        <w:jc w:val="both"/>
        <w:rPr>
          <w:noProof/>
          <w:sz w:val="24"/>
          <w:szCs w:val="24"/>
        </w:rPr>
      </w:pPr>
      <w:r w:rsidRPr="008D10A6">
        <w:rPr>
          <w:noProof/>
          <w:sz w:val="24"/>
          <w:szCs w:val="24"/>
        </w:rPr>
        <w:t xml:space="preserve">Wardani, D. K., &amp; Khoiriyah, D. (2018). Pengaruh strategi bisnis dan karakteristik perusahaan terhadap penghindaran pajak. </w:t>
      </w:r>
      <w:r w:rsidRPr="008D10A6">
        <w:rPr>
          <w:i/>
          <w:iCs/>
          <w:noProof/>
          <w:sz w:val="24"/>
          <w:szCs w:val="24"/>
        </w:rPr>
        <w:t>Akuntansi Dewantara</w:t>
      </w:r>
      <w:r w:rsidRPr="008D10A6">
        <w:rPr>
          <w:noProof/>
          <w:sz w:val="24"/>
          <w:szCs w:val="24"/>
        </w:rPr>
        <w:t xml:space="preserve">, </w:t>
      </w:r>
      <w:r w:rsidRPr="008D10A6">
        <w:rPr>
          <w:i/>
          <w:iCs/>
          <w:noProof/>
          <w:sz w:val="24"/>
          <w:szCs w:val="24"/>
        </w:rPr>
        <w:t>2</w:t>
      </w:r>
      <w:r w:rsidRPr="008D10A6">
        <w:rPr>
          <w:noProof/>
          <w:sz w:val="24"/>
          <w:szCs w:val="24"/>
        </w:rPr>
        <w:t>(1), 25–36.</w:t>
      </w:r>
    </w:p>
    <w:p w14:paraId="4DB1BD69" w14:textId="77777777" w:rsidR="008D10A6" w:rsidRPr="008D10A6" w:rsidRDefault="008D10A6" w:rsidP="008D10A6">
      <w:pPr>
        <w:ind w:left="480" w:hanging="480"/>
        <w:jc w:val="both"/>
        <w:rPr>
          <w:sz w:val="24"/>
          <w:szCs w:val="24"/>
        </w:rPr>
      </w:pPr>
      <w:r w:rsidRPr="008D10A6">
        <w:rPr>
          <w:rStyle w:val="fontstyle01"/>
          <w:rFonts w:ascii="Times New Roman" w:hAnsi="Times New Roman"/>
          <w:b w:val="0"/>
          <w:bCs w:val="0"/>
          <w:sz w:val="24"/>
          <w:szCs w:val="24"/>
        </w:rPr>
        <w:t xml:space="preserve">Widarjono , Agus. 2010. </w:t>
      </w:r>
      <w:r w:rsidRPr="008D10A6">
        <w:rPr>
          <w:rStyle w:val="fontstyle21"/>
          <w:rFonts w:ascii="Times New Roman" w:hAnsi="Times New Roman"/>
          <w:b w:val="0"/>
          <w:bCs w:val="0"/>
          <w:sz w:val="24"/>
          <w:szCs w:val="24"/>
        </w:rPr>
        <w:t xml:space="preserve">Analisis Statistika Multivariat Terapan. </w:t>
      </w:r>
      <w:r w:rsidRPr="008D10A6">
        <w:rPr>
          <w:rStyle w:val="fontstyle01"/>
          <w:rFonts w:ascii="Times New Roman" w:hAnsi="Times New Roman"/>
          <w:b w:val="0"/>
          <w:bCs w:val="0"/>
          <w:sz w:val="24"/>
          <w:szCs w:val="24"/>
        </w:rPr>
        <w:t>Edisi pertama. Yogyakarta: UPP STIM YKPN</w:t>
      </w:r>
    </w:p>
    <w:p w14:paraId="36BC3C10" w14:textId="77777777" w:rsidR="008D10A6" w:rsidRPr="008D10A6" w:rsidRDefault="008D10A6" w:rsidP="008D10A6">
      <w:pPr>
        <w:adjustRightInd w:val="0"/>
        <w:ind w:left="480" w:hanging="480"/>
        <w:jc w:val="both"/>
        <w:rPr>
          <w:noProof/>
          <w:sz w:val="24"/>
          <w:szCs w:val="24"/>
        </w:rPr>
      </w:pPr>
    </w:p>
    <w:p w14:paraId="30121175" w14:textId="08600EC9" w:rsidR="001B5598" w:rsidRPr="008D10A6" w:rsidRDefault="008D10A6" w:rsidP="008D10A6">
      <w:pPr>
        <w:contextualSpacing/>
        <w:jc w:val="both"/>
        <w:rPr>
          <w:sz w:val="24"/>
          <w:szCs w:val="24"/>
        </w:rPr>
      </w:pPr>
      <w:r w:rsidRPr="008D10A6">
        <w:rPr>
          <w:color w:val="000000"/>
          <w:sz w:val="24"/>
          <w:szCs w:val="24"/>
        </w:rPr>
        <w:fldChar w:fldCharType="end"/>
      </w:r>
    </w:p>
    <w:sectPr w:rsidR="001B5598" w:rsidRPr="008D10A6" w:rsidSect="008D10A6">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FE4C" w14:textId="77777777" w:rsidR="00DA26BF" w:rsidRDefault="00DA26BF" w:rsidP="001B5598">
      <w:r>
        <w:separator/>
      </w:r>
    </w:p>
  </w:endnote>
  <w:endnote w:type="continuationSeparator" w:id="0">
    <w:p w14:paraId="0D1C2A25" w14:textId="77777777" w:rsidR="00DA26BF" w:rsidRDefault="00DA26BF" w:rsidP="001B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Antiqua-BoldItalic">
    <w:altName w:val="Cambria"/>
    <w:panose1 w:val="020B0604020202020204"/>
    <w:charset w:val="00"/>
    <w:family w:val="roman"/>
    <w:notTrueType/>
    <w:pitch w:val="default"/>
  </w:font>
  <w:font w:name="BookAntiqua">
    <w:altName w:val="Cambria"/>
    <w:panose1 w:val="020B0604020202020204"/>
    <w:charset w:val="00"/>
    <w:family w:val="roman"/>
    <w:notTrueType/>
    <w:pitch w:val="default"/>
  </w:font>
  <w:font w:name="BookAntiqua-Italic">
    <w:altName w:val="Cambria"/>
    <w:panose1 w:val="020B0604020202020204"/>
    <w:charset w:val="00"/>
    <w:family w:val="roman"/>
    <w:notTrueType/>
    <w:pitch w:val="default"/>
  </w:font>
  <w:font w:name="BookAntiqua-Bold">
    <w:altName w:val="Cambria"/>
    <w:panose1 w:val="020B0604020202020204"/>
    <w:charset w:val="00"/>
    <w:family w:val="roman"/>
    <w:notTrueType/>
    <w:pitch w:val="default"/>
  </w:font>
  <w:font w:name="Minion Pro">
    <w:altName w:val="Cambria"/>
    <w:panose1 w:val="020B0604020202020204"/>
    <w:charset w:val="00"/>
    <w:family w:val="roman"/>
    <w:notTrueType/>
    <w:pitch w:val="variable"/>
    <w:sig w:usb0="60000287" w:usb1="00000001" w:usb2="00000000" w:usb3="00000000" w:csb0="0000019F" w:csb1="00000000"/>
  </w:font>
  <w:font w:name="Arno Pro">
    <w:altName w:val="Cambria"/>
    <w:panose1 w:val="020B0604020202020204"/>
    <w:charset w:val="00"/>
    <w:family w:val="roman"/>
    <w:pitch w:val="variable"/>
    <w:sig w:usb0="60000287" w:usb1="00000001"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318866"/>
      <w:docPartObj>
        <w:docPartGallery w:val="Page Numbers (Bottom of Page)"/>
        <w:docPartUnique/>
      </w:docPartObj>
    </w:sdtPr>
    <w:sdtEndPr>
      <w:rPr>
        <w:noProof/>
        <w:sz w:val="24"/>
        <w:szCs w:val="24"/>
      </w:rPr>
    </w:sdtEndPr>
    <w:sdtContent>
      <w:p w14:paraId="10DBF124" w14:textId="77777777" w:rsidR="000C43E5" w:rsidRPr="001B5598" w:rsidRDefault="000C43E5">
        <w:pPr>
          <w:pStyle w:val="Footer"/>
          <w:jc w:val="center"/>
          <w:rPr>
            <w:sz w:val="24"/>
            <w:szCs w:val="24"/>
          </w:rPr>
        </w:pPr>
        <w:r w:rsidRPr="001B5598">
          <w:rPr>
            <w:sz w:val="24"/>
            <w:szCs w:val="24"/>
          </w:rPr>
          <w:fldChar w:fldCharType="begin"/>
        </w:r>
        <w:r w:rsidRPr="001B5598">
          <w:rPr>
            <w:sz w:val="24"/>
            <w:szCs w:val="24"/>
          </w:rPr>
          <w:instrText xml:space="preserve"> PAGE   \* MERGEFORMAT </w:instrText>
        </w:r>
        <w:r w:rsidRPr="001B5598">
          <w:rPr>
            <w:sz w:val="24"/>
            <w:szCs w:val="24"/>
          </w:rPr>
          <w:fldChar w:fldCharType="separate"/>
        </w:r>
        <w:r>
          <w:rPr>
            <w:noProof/>
            <w:sz w:val="24"/>
            <w:szCs w:val="24"/>
          </w:rPr>
          <w:t>15</w:t>
        </w:r>
        <w:r w:rsidRPr="001B5598">
          <w:rPr>
            <w:noProof/>
            <w:sz w:val="24"/>
            <w:szCs w:val="24"/>
          </w:rPr>
          <w:fldChar w:fldCharType="end"/>
        </w:r>
      </w:p>
    </w:sdtContent>
  </w:sdt>
  <w:p w14:paraId="60BEAEB2" w14:textId="77777777" w:rsidR="000C43E5" w:rsidRDefault="000C4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6BD4" w14:textId="77777777" w:rsidR="00DA26BF" w:rsidRDefault="00DA26BF" w:rsidP="001B5598">
      <w:r>
        <w:separator/>
      </w:r>
    </w:p>
  </w:footnote>
  <w:footnote w:type="continuationSeparator" w:id="0">
    <w:p w14:paraId="68CF6763" w14:textId="77777777" w:rsidR="00DA26BF" w:rsidRDefault="00DA26BF" w:rsidP="001B5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3723"/>
    <w:multiLevelType w:val="hybridMultilevel"/>
    <w:tmpl w:val="D0D06424"/>
    <w:lvl w:ilvl="0" w:tplc="D94A800C">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1C871DC8"/>
    <w:multiLevelType w:val="hybridMultilevel"/>
    <w:tmpl w:val="03AAF5A0"/>
    <w:lvl w:ilvl="0" w:tplc="928EC690">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CEC3CA0"/>
    <w:multiLevelType w:val="hybridMultilevel"/>
    <w:tmpl w:val="1BB66438"/>
    <w:lvl w:ilvl="0" w:tplc="388CDC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323721C"/>
    <w:multiLevelType w:val="hybridMultilevel"/>
    <w:tmpl w:val="E988B0C8"/>
    <w:lvl w:ilvl="0" w:tplc="07FEF73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0E97CCC"/>
    <w:multiLevelType w:val="hybridMultilevel"/>
    <w:tmpl w:val="D70220D8"/>
    <w:lvl w:ilvl="0" w:tplc="45E2643E">
      <w:start w:val="3"/>
      <w:numFmt w:val="bullet"/>
      <w:lvlText w:val="-"/>
      <w:lvlJc w:val="left"/>
      <w:pPr>
        <w:ind w:left="720" w:hanging="360"/>
      </w:pPr>
      <w:rPr>
        <w:rFonts w:ascii="Calibri" w:eastAsiaTheme="minorHAns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650FF"/>
    <w:multiLevelType w:val="multilevel"/>
    <w:tmpl w:val="08702AE8"/>
    <w:lvl w:ilvl="0">
      <w:numFmt w:val="decimalZero"/>
      <w:lvlText w:val="%1-0"/>
      <w:lvlJc w:val="left"/>
      <w:pPr>
        <w:ind w:left="780" w:hanging="780"/>
      </w:pPr>
    </w:lvl>
    <w:lvl w:ilvl="1">
      <w:start w:val="1"/>
      <w:numFmt w:val="decimalZero"/>
      <w:lvlText w:val="%1-%2"/>
      <w:lvlJc w:val="left"/>
      <w:pPr>
        <w:ind w:left="1500" w:hanging="780"/>
      </w:pPr>
    </w:lvl>
    <w:lvl w:ilvl="2">
      <w:start w:val="1"/>
      <w:numFmt w:val="decimal"/>
      <w:lvlText w:val="%1-%2.%3"/>
      <w:lvlJc w:val="left"/>
      <w:pPr>
        <w:ind w:left="2220" w:hanging="780"/>
      </w:pPr>
    </w:lvl>
    <w:lvl w:ilvl="3">
      <w:start w:val="1"/>
      <w:numFmt w:val="decimal"/>
      <w:lvlText w:val="%1-%2.%3.%4"/>
      <w:lvlJc w:val="left"/>
      <w:pPr>
        <w:ind w:left="2940" w:hanging="78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62D840B0"/>
    <w:multiLevelType w:val="hybridMultilevel"/>
    <w:tmpl w:val="6B563CE8"/>
    <w:lvl w:ilvl="0" w:tplc="07FEF7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65401CB5"/>
    <w:multiLevelType w:val="hybridMultilevel"/>
    <w:tmpl w:val="6C80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359CA"/>
    <w:multiLevelType w:val="hybridMultilevel"/>
    <w:tmpl w:val="BF8262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A15405E"/>
    <w:multiLevelType w:val="hybridMultilevel"/>
    <w:tmpl w:val="1A60518A"/>
    <w:lvl w:ilvl="0" w:tplc="65E09A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751080614">
    <w:abstractNumId w:val="6"/>
  </w:num>
  <w:num w:numId="2" w16cid:durableId="6201856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5240913">
    <w:abstractNumId w:val="2"/>
  </w:num>
  <w:num w:numId="4" w16cid:durableId="1120105172">
    <w:abstractNumId w:val="1"/>
  </w:num>
  <w:num w:numId="5" w16cid:durableId="1697340809">
    <w:abstractNumId w:val="3"/>
  </w:num>
  <w:num w:numId="6" w16cid:durableId="18554024">
    <w:abstractNumId w:val="0"/>
  </w:num>
  <w:num w:numId="7" w16cid:durableId="1566723586">
    <w:abstractNumId w:val="9"/>
  </w:num>
  <w:num w:numId="8" w16cid:durableId="215893490">
    <w:abstractNumId w:val="7"/>
  </w:num>
  <w:num w:numId="9" w16cid:durableId="2009093270">
    <w:abstractNumId w:val="4"/>
  </w:num>
  <w:num w:numId="10" w16cid:durableId="953437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65"/>
    <w:rsid w:val="000807E3"/>
    <w:rsid w:val="000C43E5"/>
    <w:rsid w:val="000D7B4C"/>
    <w:rsid w:val="00197F64"/>
    <w:rsid w:val="001B5598"/>
    <w:rsid w:val="00314627"/>
    <w:rsid w:val="003B225D"/>
    <w:rsid w:val="003D41DD"/>
    <w:rsid w:val="004F7F85"/>
    <w:rsid w:val="00530BFA"/>
    <w:rsid w:val="006A4AE9"/>
    <w:rsid w:val="0078203F"/>
    <w:rsid w:val="00785DA4"/>
    <w:rsid w:val="007D3D0A"/>
    <w:rsid w:val="00826A1E"/>
    <w:rsid w:val="00847F8B"/>
    <w:rsid w:val="008D10A6"/>
    <w:rsid w:val="009B7B92"/>
    <w:rsid w:val="00AA4F06"/>
    <w:rsid w:val="00C40A65"/>
    <w:rsid w:val="00D351AA"/>
    <w:rsid w:val="00DA26BF"/>
    <w:rsid w:val="00DA379E"/>
    <w:rsid w:val="00DA6453"/>
    <w:rsid w:val="00E03E2A"/>
    <w:rsid w:val="00E45AAD"/>
    <w:rsid w:val="00E8608F"/>
    <w:rsid w:val="00F047C4"/>
    <w:rsid w:val="00F73859"/>
    <w:rsid w:val="00FA45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7F526"/>
  <w15:docId w15:val="{9E6B3E3A-0EC7-46FE-99EC-193DDD0B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0A6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0A65"/>
    <w:pPr>
      <w:ind w:left="80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0A6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40A65"/>
    <w:rPr>
      <w:sz w:val="24"/>
      <w:szCs w:val="24"/>
    </w:rPr>
  </w:style>
  <w:style w:type="character" w:customStyle="1" w:styleId="BodyTextChar">
    <w:name w:val="Body Text Char"/>
    <w:basedOn w:val="DefaultParagraphFont"/>
    <w:link w:val="BodyText"/>
    <w:uiPriority w:val="1"/>
    <w:rsid w:val="00C40A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40A65"/>
  </w:style>
  <w:style w:type="paragraph" w:styleId="NormalWeb">
    <w:name w:val="Normal (Web)"/>
    <w:basedOn w:val="Normal"/>
    <w:uiPriority w:val="99"/>
    <w:unhideWhenUsed/>
    <w:rsid w:val="00C40A65"/>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C40A65"/>
    <w:rPr>
      <w:color w:val="0000FF"/>
      <w:u w:val="single"/>
    </w:rPr>
  </w:style>
  <w:style w:type="paragraph" w:styleId="ListParagraph">
    <w:name w:val="List Paragraph"/>
    <w:basedOn w:val="Normal"/>
    <w:link w:val="ListParagraphChar"/>
    <w:uiPriority w:val="34"/>
    <w:qFormat/>
    <w:rsid w:val="00F047C4"/>
    <w:pPr>
      <w:widowControl/>
      <w:autoSpaceDE/>
      <w:autoSpaceDN/>
      <w:spacing w:after="160" w:line="259" w:lineRule="auto"/>
      <w:ind w:left="720"/>
      <w:contextualSpacing/>
      <w:jc w:val="both"/>
    </w:pPr>
    <w:rPr>
      <w:rFonts w:asciiTheme="minorHAnsi" w:eastAsiaTheme="minorHAnsi" w:hAnsiTheme="minorHAnsi" w:cstheme="minorBidi"/>
      <w:lang w:val="en-US"/>
    </w:rPr>
  </w:style>
  <w:style w:type="character" w:customStyle="1" w:styleId="ListParagraphChar">
    <w:name w:val="List Paragraph Char"/>
    <w:basedOn w:val="DefaultParagraphFont"/>
    <w:link w:val="ListParagraph"/>
    <w:uiPriority w:val="34"/>
    <w:locked/>
    <w:rsid w:val="00F047C4"/>
    <w:rPr>
      <w:lang w:val="en-US"/>
    </w:rPr>
  </w:style>
  <w:style w:type="paragraph" w:customStyle="1" w:styleId="BasicParagraph">
    <w:name w:val="[Basic Paragraph]"/>
    <w:basedOn w:val="Normal"/>
    <w:uiPriority w:val="99"/>
    <w:rsid w:val="00F047C4"/>
    <w:pPr>
      <w:widowControl/>
      <w:adjustRightInd w:val="0"/>
      <w:spacing w:line="288" w:lineRule="auto"/>
    </w:pPr>
    <w:rPr>
      <w:rFonts w:ascii="Calisto MT" w:eastAsia="Calibri" w:hAnsi="Calisto MT" w:cs="Calisto MT"/>
      <w:color w:val="000000"/>
      <w:sz w:val="20"/>
      <w:szCs w:val="20"/>
      <w:lang w:val="en-GB"/>
    </w:rPr>
  </w:style>
  <w:style w:type="paragraph" w:styleId="Header">
    <w:name w:val="header"/>
    <w:basedOn w:val="Normal"/>
    <w:link w:val="HeaderChar"/>
    <w:uiPriority w:val="99"/>
    <w:unhideWhenUsed/>
    <w:rsid w:val="001B5598"/>
    <w:pPr>
      <w:tabs>
        <w:tab w:val="center" w:pos="4513"/>
        <w:tab w:val="right" w:pos="9026"/>
      </w:tabs>
    </w:pPr>
  </w:style>
  <w:style w:type="character" w:customStyle="1" w:styleId="HeaderChar">
    <w:name w:val="Header Char"/>
    <w:basedOn w:val="DefaultParagraphFont"/>
    <w:link w:val="Header"/>
    <w:uiPriority w:val="99"/>
    <w:rsid w:val="001B5598"/>
    <w:rPr>
      <w:rFonts w:ascii="Times New Roman" w:eastAsia="Times New Roman" w:hAnsi="Times New Roman" w:cs="Times New Roman"/>
    </w:rPr>
  </w:style>
  <w:style w:type="paragraph" w:styleId="Footer">
    <w:name w:val="footer"/>
    <w:basedOn w:val="Normal"/>
    <w:link w:val="FooterChar"/>
    <w:uiPriority w:val="99"/>
    <w:unhideWhenUsed/>
    <w:rsid w:val="001B5598"/>
    <w:pPr>
      <w:tabs>
        <w:tab w:val="center" w:pos="4513"/>
        <w:tab w:val="right" w:pos="9026"/>
      </w:tabs>
    </w:pPr>
  </w:style>
  <w:style w:type="character" w:customStyle="1" w:styleId="FooterChar">
    <w:name w:val="Footer Char"/>
    <w:basedOn w:val="DefaultParagraphFont"/>
    <w:link w:val="Footer"/>
    <w:uiPriority w:val="99"/>
    <w:rsid w:val="001B5598"/>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0D7B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0D7B4C"/>
    <w:rPr>
      <w:rFonts w:ascii="Courier New" w:eastAsia="Times New Roman" w:hAnsi="Courier New" w:cs="Courier New"/>
      <w:sz w:val="20"/>
      <w:szCs w:val="20"/>
      <w:lang w:val="en-US"/>
    </w:rPr>
  </w:style>
  <w:style w:type="character" w:customStyle="1" w:styleId="y2iqfc">
    <w:name w:val="y2iqfc"/>
    <w:basedOn w:val="DefaultParagraphFont"/>
    <w:rsid w:val="000D7B4C"/>
  </w:style>
  <w:style w:type="character" w:customStyle="1" w:styleId="1">
    <w:name w:val="标题1"/>
    <w:uiPriority w:val="1"/>
    <w:rsid w:val="000D7B4C"/>
    <w:rPr>
      <w:rFonts w:ascii="Times New Roman" w:eastAsia="Times New Roman" w:hAnsi="Times New Roman"/>
      <w:b/>
      <w:sz w:val="28"/>
    </w:rPr>
  </w:style>
  <w:style w:type="character" w:styleId="CommentReference">
    <w:name w:val="annotation reference"/>
    <w:basedOn w:val="DefaultParagraphFont"/>
    <w:uiPriority w:val="99"/>
    <w:semiHidden/>
    <w:unhideWhenUsed/>
    <w:rsid w:val="000D7B4C"/>
    <w:rPr>
      <w:sz w:val="16"/>
      <w:szCs w:val="16"/>
    </w:rPr>
  </w:style>
  <w:style w:type="paragraph" w:styleId="CommentText">
    <w:name w:val="annotation text"/>
    <w:basedOn w:val="Normal"/>
    <w:link w:val="CommentTextChar"/>
    <w:uiPriority w:val="99"/>
    <w:semiHidden/>
    <w:unhideWhenUsed/>
    <w:rsid w:val="000D7B4C"/>
    <w:pPr>
      <w:widowControl/>
      <w:autoSpaceDE/>
      <w:autoSpaceDN/>
      <w:spacing w:after="160"/>
    </w:pPr>
    <w:rPr>
      <w:rFonts w:asciiTheme="minorHAnsi" w:eastAsiaTheme="minorHAnsi" w:hAnsiTheme="minorHAnsi" w:cstheme="minorBidi"/>
      <w:sz w:val="20"/>
      <w:szCs w:val="20"/>
      <w:lang w:val="en-ID"/>
    </w:rPr>
  </w:style>
  <w:style w:type="character" w:customStyle="1" w:styleId="CommentTextChar">
    <w:name w:val="Comment Text Char"/>
    <w:basedOn w:val="DefaultParagraphFont"/>
    <w:link w:val="CommentText"/>
    <w:uiPriority w:val="99"/>
    <w:semiHidden/>
    <w:rsid w:val="000D7B4C"/>
    <w:rPr>
      <w:sz w:val="20"/>
      <w:szCs w:val="20"/>
      <w:lang w:val="en-ID"/>
    </w:rPr>
  </w:style>
  <w:style w:type="character" w:customStyle="1" w:styleId="fontstyle21">
    <w:name w:val="fontstyle21"/>
    <w:basedOn w:val="DefaultParagraphFont"/>
    <w:rsid w:val="000D7B4C"/>
    <w:rPr>
      <w:rFonts w:ascii="BookAntiqua-BoldItalic" w:hAnsi="BookAntiqua-BoldItalic" w:hint="default"/>
      <w:b/>
      <w:bCs/>
      <w:i/>
      <w:iCs/>
      <w:color w:val="000000"/>
      <w:sz w:val="22"/>
      <w:szCs w:val="22"/>
    </w:rPr>
  </w:style>
  <w:style w:type="character" w:customStyle="1" w:styleId="fontstyle31">
    <w:name w:val="fontstyle31"/>
    <w:basedOn w:val="DefaultParagraphFont"/>
    <w:rsid w:val="000D7B4C"/>
    <w:rPr>
      <w:rFonts w:ascii="BookAntiqua" w:hAnsi="BookAntiqua" w:hint="default"/>
      <w:b w:val="0"/>
      <w:bCs w:val="0"/>
      <w:i w:val="0"/>
      <w:iCs w:val="0"/>
      <w:color w:val="000000"/>
      <w:sz w:val="22"/>
      <w:szCs w:val="22"/>
    </w:rPr>
  </w:style>
  <w:style w:type="character" w:customStyle="1" w:styleId="fontstyle41">
    <w:name w:val="fontstyle41"/>
    <w:basedOn w:val="DefaultParagraphFont"/>
    <w:rsid w:val="000D7B4C"/>
    <w:rPr>
      <w:rFonts w:ascii="BookAntiqua-Italic" w:hAnsi="BookAntiqua-Italic" w:hint="default"/>
      <w:b w:val="0"/>
      <w:bCs w:val="0"/>
      <w:i/>
      <w:iCs/>
      <w:color w:val="000000"/>
      <w:sz w:val="22"/>
      <w:szCs w:val="22"/>
    </w:rPr>
  </w:style>
  <w:style w:type="character" w:customStyle="1" w:styleId="fontstyle01">
    <w:name w:val="fontstyle01"/>
    <w:basedOn w:val="DefaultParagraphFont"/>
    <w:rsid w:val="000D7B4C"/>
    <w:rPr>
      <w:rFonts w:ascii="BookAntiqua-Bold" w:hAnsi="BookAntiqua-Bold" w:hint="default"/>
      <w:b/>
      <w:bCs/>
      <w:i w:val="0"/>
      <w:iCs w:val="0"/>
      <w:color w:val="000000"/>
      <w:sz w:val="22"/>
      <w:szCs w:val="22"/>
    </w:rPr>
  </w:style>
  <w:style w:type="character" w:styleId="Strong">
    <w:name w:val="Strong"/>
    <w:uiPriority w:val="22"/>
    <w:qFormat/>
    <w:rsid w:val="000C4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1432">
      <w:bodyDiv w:val="1"/>
      <w:marLeft w:val="0"/>
      <w:marRight w:val="0"/>
      <w:marTop w:val="0"/>
      <w:marBottom w:val="0"/>
      <w:divBdr>
        <w:top w:val="none" w:sz="0" w:space="0" w:color="auto"/>
        <w:left w:val="none" w:sz="0" w:space="0" w:color="auto"/>
        <w:bottom w:val="none" w:sz="0" w:space="0" w:color="auto"/>
        <w:right w:val="none" w:sz="0" w:space="0" w:color="auto"/>
      </w:divBdr>
    </w:div>
    <w:div w:id="91652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12364</Words>
  <Characters>70480</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Kholida</cp:lastModifiedBy>
  <cp:revision>3</cp:revision>
  <dcterms:created xsi:type="dcterms:W3CDTF">2022-05-31T08:50:00Z</dcterms:created>
  <dcterms:modified xsi:type="dcterms:W3CDTF">2022-05-31T08:51:00Z</dcterms:modified>
</cp:coreProperties>
</file>