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0" w:type="dxa"/>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709"/>
        <w:gridCol w:w="5140"/>
        <w:gridCol w:w="1784"/>
      </w:tblGrid>
      <w:tr w:rsidR="00F047C4" w14:paraId="367E6A6F" w14:textId="77777777" w:rsidTr="001B5598">
        <w:tc>
          <w:tcPr>
            <w:tcW w:w="1276" w:type="dxa"/>
            <w:tcBorders>
              <w:top w:val="single" w:sz="4" w:space="0" w:color="auto"/>
              <w:left w:val="nil"/>
              <w:bottom w:val="single" w:sz="18" w:space="0" w:color="auto"/>
              <w:right w:val="nil"/>
            </w:tcBorders>
            <w:vAlign w:val="center"/>
          </w:tcPr>
          <w:p w14:paraId="69B64FE0" w14:textId="77777777" w:rsidR="00F047C4" w:rsidRDefault="00F047C4" w:rsidP="001B5598">
            <w:pPr>
              <w:pStyle w:val="BasicParagraph"/>
              <w:spacing w:line="240" w:lineRule="auto"/>
              <w:jc w:val="both"/>
              <w:rPr>
                <w:rFonts w:cs="Times New Roman"/>
                <w:b/>
                <w:bCs/>
              </w:rPr>
            </w:pPr>
            <w:bookmarkStart w:id="0" w:name="_Toc523302771"/>
          </w:p>
        </w:tc>
        <w:tc>
          <w:tcPr>
            <w:tcW w:w="7629" w:type="dxa"/>
            <w:gridSpan w:val="3"/>
            <w:tcBorders>
              <w:top w:val="single" w:sz="4" w:space="0" w:color="auto"/>
              <w:left w:val="nil"/>
              <w:bottom w:val="single" w:sz="18" w:space="0" w:color="auto"/>
              <w:right w:val="nil"/>
            </w:tcBorders>
            <w:shd w:val="clear" w:color="auto" w:fill="F2F2F2"/>
          </w:tcPr>
          <w:p w14:paraId="12232D94" w14:textId="77777777" w:rsidR="00F047C4" w:rsidRDefault="00F047C4" w:rsidP="001B5598">
            <w:pPr>
              <w:pStyle w:val="BasicParagraph"/>
              <w:spacing w:line="240" w:lineRule="auto"/>
              <w:jc w:val="both"/>
              <w:rPr>
                <w:rFonts w:ascii="Minion Pro" w:hAnsi="Minion Pro" w:cs="Minion Pro"/>
                <w:sz w:val="8"/>
                <w:szCs w:val="16"/>
              </w:rPr>
            </w:pPr>
          </w:p>
          <w:p w14:paraId="6A983B23" w14:textId="41349F7F" w:rsidR="00F047C4" w:rsidRPr="00F225DA" w:rsidRDefault="00F047C4" w:rsidP="001B5598">
            <w:pPr>
              <w:pStyle w:val="BasicParagraph"/>
              <w:spacing w:line="240" w:lineRule="auto"/>
              <w:jc w:val="center"/>
              <w:rPr>
                <w:rFonts w:ascii="Minion Pro" w:hAnsi="Minion Pro" w:cs="Minion Pro"/>
                <w:sz w:val="16"/>
                <w:szCs w:val="16"/>
                <w:lang w:val="en-US"/>
              </w:rPr>
            </w:pPr>
            <w:r>
              <w:rPr>
                <w:rFonts w:ascii="Minion Pro" w:hAnsi="Minion Pro" w:cs="Minion Pro"/>
                <w:sz w:val="16"/>
                <w:szCs w:val="16"/>
              </w:rPr>
              <w:t>IJATB Vol</w:t>
            </w:r>
            <w:r w:rsidR="00F225DA">
              <w:rPr>
                <w:rFonts w:ascii="Minion Pro" w:hAnsi="Minion Pro" w:cs="Minion Pro"/>
                <w:sz w:val="16"/>
                <w:szCs w:val="16"/>
              </w:rPr>
              <w:t xml:space="preserve"> 03</w:t>
            </w:r>
            <w:r>
              <w:rPr>
                <w:rFonts w:ascii="Minion Pro" w:hAnsi="Minion Pro" w:cs="Minion Pro"/>
                <w:sz w:val="16"/>
                <w:szCs w:val="16"/>
              </w:rPr>
              <w:t xml:space="preserve"> No</w:t>
            </w:r>
            <w:r w:rsidR="00F225DA">
              <w:rPr>
                <w:rFonts w:ascii="Minion Pro" w:hAnsi="Minion Pro" w:cs="Minion Pro"/>
                <w:sz w:val="16"/>
                <w:szCs w:val="16"/>
              </w:rPr>
              <w:t xml:space="preserve"> 01</w:t>
            </w:r>
            <w:r>
              <w:rPr>
                <w:rFonts w:ascii="Minion Pro" w:hAnsi="Minion Pro" w:cs="Minion Pro"/>
                <w:sz w:val="16"/>
                <w:szCs w:val="16"/>
              </w:rPr>
              <w:t>, 20</w:t>
            </w:r>
            <w:r w:rsidR="00F225DA">
              <w:rPr>
                <w:rFonts w:ascii="Minion Pro" w:hAnsi="Minion Pro" w:cs="Minion Pro"/>
                <w:sz w:val="16"/>
                <w:szCs w:val="16"/>
                <w:lang w:val="en-US"/>
              </w:rPr>
              <w:t>22</w:t>
            </w:r>
          </w:p>
          <w:p w14:paraId="6D21ACA4" w14:textId="77777777" w:rsidR="00F047C4" w:rsidRDefault="00F047C4" w:rsidP="001B5598">
            <w:pPr>
              <w:pStyle w:val="BasicParagraph"/>
              <w:spacing w:line="240" w:lineRule="auto"/>
              <w:jc w:val="center"/>
              <w:rPr>
                <w:b/>
                <w:bCs/>
              </w:rPr>
            </w:pPr>
          </w:p>
          <w:p w14:paraId="3FE9043E" w14:textId="77777777" w:rsidR="00F047C4" w:rsidRDefault="00F047C4" w:rsidP="001B5598">
            <w:pPr>
              <w:pStyle w:val="BasicParagraph"/>
              <w:spacing w:line="240" w:lineRule="auto"/>
              <w:jc w:val="center"/>
              <w:rPr>
                <w:b/>
                <w:bCs/>
                <w:sz w:val="26"/>
                <w:szCs w:val="26"/>
              </w:rPr>
            </w:pPr>
            <w:r>
              <w:rPr>
                <w:b/>
                <w:bCs/>
                <w:noProof/>
                <w:sz w:val="26"/>
                <w:szCs w:val="26"/>
              </w:rPr>
              <w:t>International Journal of</w:t>
            </w:r>
            <w:r>
              <w:rPr>
                <w:b/>
                <w:bCs/>
                <w:sz w:val="26"/>
                <w:szCs w:val="26"/>
              </w:rPr>
              <w:t xml:space="preserve"> Accounting, Taxation, and Business</w:t>
            </w:r>
          </w:p>
          <w:p w14:paraId="69549151" w14:textId="77777777" w:rsidR="00F047C4" w:rsidRDefault="00F047C4" w:rsidP="001B5598">
            <w:pPr>
              <w:pStyle w:val="BasicParagraph"/>
              <w:spacing w:line="240" w:lineRule="auto"/>
              <w:jc w:val="center"/>
              <w:rPr>
                <w:b/>
                <w:bCs/>
              </w:rPr>
            </w:pPr>
          </w:p>
          <w:p w14:paraId="6C57C59C" w14:textId="77777777" w:rsidR="00F047C4" w:rsidRDefault="00F047C4" w:rsidP="001B5598">
            <w:pPr>
              <w:pStyle w:val="BasicParagraph"/>
              <w:spacing w:line="240" w:lineRule="auto"/>
              <w:jc w:val="center"/>
              <w:rPr>
                <w:rFonts w:ascii="Arno Pro" w:hAnsi="Arno Pro" w:cs="Arno Pro"/>
                <w:sz w:val="18"/>
                <w:szCs w:val="18"/>
              </w:rPr>
            </w:pPr>
            <w:r>
              <w:rPr>
                <w:rFonts w:ascii="Arno Pro" w:hAnsi="Arno Pro" w:cs="Arno Pro"/>
                <w:sz w:val="18"/>
                <w:szCs w:val="18"/>
              </w:rPr>
              <w:t>https://journal.unsika.ac.id/index.php/IJATB</w:t>
            </w:r>
          </w:p>
          <w:p w14:paraId="7E44F52B" w14:textId="77777777" w:rsidR="00F047C4" w:rsidRDefault="00F047C4" w:rsidP="001B5598">
            <w:pPr>
              <w:pStyle w:val="BasicParagraph"/>
              <w:spacing w:line="240" w:lineRule="auto"/>
              <w:jc w:val="both"/>
              <w:rPr>
                <w:rFonts w:cs="Times New Roman"/>
                <w:sz w:val="18"/>
                <w:szCs w:val="18"/>
              </w:rPr>
            </w:pPr>
          </w:p>
        </w:tc>
      </w:tr>
      <w:tr w:rsidR="00F047C4" w14:paraId="250CC832" w14:textId="77777777" w:rsidTr="001B5598">
        <w:tc>
          <w:tcPr>
            <w:tcW w:w="8905" w:type="dxa"/>
            <w:gridSpan w:val="4"/>
            <w:tcBorders>
              <w:top w:val="single" w:sz="18" w:space="0" w:color="auto"/>
              <w:left w:val="nil"/>
              <w:bottom w:val="single" w:sz="4" w:space="0" w:color="auto"/>
              <w:right w:val="nil"/>
            </w:tcBorders>
          </w:tcPr>
          <w:p w14:paraId="3BC82715" w14:textId="77777777" w:rsidR="00EF14A3" w:rsidRDefault="00EF14A3" w:rsidP="00EF14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color w:val="202124"/>
                <w:sz w:val="30"/>
                <w:szCs w:val="30"/>
                <w:lang w:val="en" w:eastAsia="id-ID"/>
              </w:rPr>
            </w:pPr>
            <w:r w:rsidRPr="00EF14A3">
              <w:rPr>
                <w:b/>
                <w:bCs/>
                <w:color w:val="202124"/>
                <w:sz w:val="30"/>
                <w:szCs w:val="30"/>
                <w:lang w:val="en" w:eastAsia="id-ID"/>
              </w:rPr>
              <w:t xml:space="preserve">THE EFFECT OF LIQUIDITY, PROFITABILITY AND SOLVENCY ON GOING CONCERN AUDIT OPINIONS </w:t>
            </w:r>
          </w:p>
          <w:p w14:paraId="05DA92E2" w14:textId="39639140" w:rsidR="00EF14A3" w:rsidRPr="00EF14A3" w:rsidRDefault="00EF14A3" w:rsidP="00EF14A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color w:val="202124"/>
                <w:sz w:val="30"/>
                <w:szCs w:val="30"/>
                <w:lang w:eastAsia="id-ID"/>
              </w:rPr>
            </w:pPr>
            <w:r w:rsidRPr="00EF14A3">
              <w:rPr>
                <w:b/>
                <w:bCs/>
                <w:color w:val="202124"/>
                <w:sz w:val="30"/>
                <w:szCs w:val="30"/>
                <w:lang w:val="en" w:eastAsia="id-ID"/>
              </w:rPr>
              <w:t>(STUDY ON RETAIL TRADE COMPANIES LISTED ON THE INDONESIA STOCK EXCHANGE)</w:t>
            </w:r>
          </w:p>
          <w:p w14:paraId="058407A9" w14:textId="6EF9C81F" w:rsidR="00F047C4" w:rsidRPr="00913624" w:rsidRDefault="00EF14A3" w:rsidP="00F047C4">
            <w:pPr>
              <w:pStyle w:val="BodyText"/>
              <w:jc w:val="center"/>
              <w:rPr>
                <w:b/>
                <w:lang w:val="en-US"/>
              </w:rPr>
            </w:pPr>
            <w:r>
              <w:rPr>
                <w:b/>
              </w:rPr>
              <w:t>Fahrul Alam Masruri</w:t>
            </w:r>
            <w:r w:rsidR="00F047C4" w:rsidRPr="00AF441C">
              <w:rPr>
                <w:b/>
              </w:rPr>
              <w:t xml:space="preserve">, </w:t>
            </w:r>
            <w:proofErr w:type="spellStart"/>
            <w:r>
              <w:rPr>
                <w:b/>
              </w:rPr>
              <w:t>Agia</w:t>
            </w:r>
            <w:proofErr w:type="spellEnd"/>
            <w:r>
              <w:rPr>
                <w:b/>
              </w:rPr>
              <w:t xml:space="preserve"> </w:t>
            </w:r>
            <w:proofErr w:type="spellStart"/>
            <w:r>
              <w:rPr>
                <w:b/>
              </w:rPr>
              <w:t>Syafitria</w:t>
            </w:r>
            <w:proofErr w:type="spellEnd"/>
            <w:r>
              <w:rPr>
                <w:b/>
              </w:rPr>
              <w:t xml:space="preserve"> Syarif</w:t>
            </w:r>
          </w:p>
          <w:p w14:paraId="3526A4E7" w14:textId="5EDF0B83" w:rsidR="00F047C4" w:rsidRPr="00AF441C" w:rsidRDefault="00F047C4" w:rsidP="00F047C4">
            <w:pPr>
              <w:pStyle w:val="BodyText"/>
              <w:jc w:val="center"/>
              <w:rPr>
                <w:sz w:val="22"/>
              </w:rPr>
            </w:pPr>
            <w:proofErr w:type="spellStart"/>
            <w:r w:rsidRPr="006205B5">
              <w:rPr>
                <w:sz w:val="22"/>
              </w:rPr>
              <w:t>Accounting</w:t>
            </w:r>
            <w:proofErr w:type="spellEnd"/>
            <w:r w:rsidRPr="006205B5">
              <w:rPr>
                <w:sz w:val="22"/>
              </w:rPr>
              <w:t xml:space="preserve"> Study Program, </w:t>
            </w:r>
            <w:proofErr w:type="spellStart"/>
            <w:r w:rsidRPr="006205B5">
              <w:rPr>
                <w:sz w:val="22"/>
              </w:rPr>
              <w:t>Faculty</w:t>
            </w:r>
            <w:proofErr w:type="spellEnd"/>
            <w:r w:rsidRPr="006205B5">
              <w:rPr>
                <w:sz w:val="22"/>
              </w:rPr>
              <w:t xml:space="preserve"> </w:t>
            </w:r>
            <w:proofErr w:type="spellStart"/>
            <w:r w:rsidRPr="006205B5">
              <w:rPr>
                <w:sz w:val="22"/>
              </w:rPr>
              <w:t>of</w:t>
            </w:r>
            <w:proofErr w:type="spellEnd"/>
            <w:r w:rsidRPr="006205B5">
              <w:rPr>
                <w:sz w:val="22"/>
              </w:rPr>
              <w:t xml:space="preserve"> </w:t>
            </w:r>
            <w:proofErr w:type="spellStart"/>
            <w:r w:rsidRPr="006205B5">
              <w:rPr>
                <w:sz w:val="22"/>
              </w:rPr>
              <w:t>Economics</w:t>
            </w:r>
            <w:proofErr w:type="spellEnd"/>
            <w:r w:rsidR="00EF14A3">
              <w:rPr>
                <w:sz w:val="22"/>
              </w:rPr>
              <w:t xml:space="preserve"> </w:t>
            </w:r>
            <w:proofErr w:type="spellStart"/>
            <w:r w:rsidR="00EF14A3">
              <w:rPr>
                <w:sz w:val="22"/>
              </w:rPr>
              <w:t>and</w:t>
            </w:r>
            <w:proofErr w:type="spellEnd"/>
            <w:r w:rsidR="00EF14A3">
              <w:rPr>
                <w:sz w:val="22"/>
              </w:rPr>
              <w:t xml:space="preserve"> Bisnis</w:t>
            </w:r>
            <w:r>
              <w:rPr>
                <w:sz w:val="22"/>
                <w:lang w:val="en-US"/>
              </w:rPr>
              <w:t xml:space="preserve">, </w:t>
            </w:r>
            <w:r w:rsidRPr="00AF441C">
              <w:rPr>
                <w:sz w:val="22"/>
              </w:rPr>
              <w:t xml:space="preserve">Universitas </w:t>
            </w:r>
            <w:r w:rsidR="00EF14A3">
              <w:rPr>
                <w:sz w:val="22"/>
              </w:rPr>
              <w:t>Sebelas April</w:t>
            </w:r>
          </w:p>
          <w:p w14:paraId="269108D6" w14:textId="6E08E4DF" w:rsidR="00F047C4" w:rsidRDefault="00F047C4" w:rsidP="001B5598">
            <w:pPr>
              <w:ind w:right="4"/>
              <w:jc w:val="center"/>
              <w:rPr>
                <w:lang w:val="en-US"/>
              </w:rPr>
            </w:pPr>
            <w:proofErr w:type="spellStart"/>
            <w:r>
              <w:t>Corresponding</w:t>
            </w:r>
            <w:proofErr w:type="spellEnd"/>
            <w:r>
              <w:t xml:space="preserve"> </w:t>
            </w:r>
            <w:proofErr w:type="spellStart"/>
            <w:r>
              <w:t>Author</w:t>
            </w:r>
            <w:proofErr w:type="spellEnd"/>
            <w:r>
              <w:t xml:space="preserve"> : </w:t>
            </w:r>
            <w:r w:rsidR="00EF14A3">
              <w:rPr>
                <w:i/>
              </w:rPr>
              <w:t>masruri2012af</w:t>
            </w:r>
            <w:r w:rsidRPr="00AF441C">
              <w:rPr>
                <w:i/>
              </w:rPr>
              <w:t>@gmail.com</w:t>
            </w:r>
          </w:p>
        </w:tc>
      </w:tr>
      <w:tr w:rsidR="00F047C4" w14:paraId="191BF6DC" w14:textId="77777777" w:rsidTr="001B5598">
        <w:tc>
          <w:tcPr>
            <w:tcW w:w="1985" w:type="dxa"/>
            <w:gridSpan w:val="2"/>
            <w:tcBorders>
              <w:top w:val="single" w:sz="4" w:space="0" w:color="auto"/>
              <w:left w:val="nil"/>
              <w:bottom w:val="single" w:sz="4" w:space="0" w:color="auto"/>
              <w:right w:val="nil"/>
            </w:tcBorders>
          </w:tcPr>
          <w:p w14:paraId="7668E075" w14:textId="77777777" w:rsidR="00F047C4" w:rsidRDefault="00F047C4" w:rsidP="001B5598">
            <w:pPr>
              <w:rPr>
                <w:rFonts w:ascii="Arno Pro" w:hAnsi="Arno Pro"/>
                <w:position w:val="-18"/>
              </w:rPr>
            </w:pPr>
            <w:r>
              <w:rPr>
                <w:rFonts w:ascii="Arno Pro" w:hAnsi="Arno Pro"/>
                <w:b/>
                <w:bCs/>
                <w:position w:val="-20"/>
                <w:sz w:val="24"/>
              </w:rPr>
              <w:t>Article Information</w:t>
            </w:r>
          </w:p>
          <w:p w14:paraId="3077CE7C" w14:textId="77777777" w:rsidR="00F047C4" w:rsidRDefault="00F047C4" w:rsidP="001B5598">
            <w:pPr>
              <w:rPr>
                <w:rFonts w:asciiTheme="minorHAnsi" w:hAnsiTheme="minorHAnsi"/>
              </w:rPr>
            </w:pPr>
            <w:r>
              <w:t>________________</w:t>
            </w:r>
          </w:p>
          <w:p w14:paraId="7F3926C3" w14:textId="77777777" w:rsidR="00F047C4" w:rsidRDefault="00F047C4" w:rsidP="001B5598">
            <w:pPr>
              <w:rPr>
                <w:rFonts w:ascii="Arno Pro" w:hAnsi="Arno Pro"/>
                <w:i/>
                <w:position w:val="-6"/>
                <w:sz w:val="16"/>
                <w:szCs w:val="16"/>
              </w:rPr>
            </w:pPr>
            <w:r>
              <w:rPr>
                <w:rFonts w:ascii="Arno Pro" w:hAnsi="Arno Pro"/>
                <w:i/>
                <w:iCs/>
                <w:position w:val="-6"/>
                <w:sz w:val="16"/>
                <w:szCs w:val="16"/>
              </w:rPr>
              <w:t>History of article:</w:t>
            </w:r>
          </w:p>
          <w:p w14:paraId="4E90FE20" w14:textId="77777777" w:rsidR="00F047C4" w:rsidRDefault="00F047C4" w:rsidP="001B5598">
            <w:pPr>
              <w:rPr>
                <w:rFonts w:ascii="Arno Pro" w:hAnsi="Arno Pro" w:cs="Calisto MT"/>
                <w:i/>
                <w:color w:val="000000"/>
                <w:position w:val="-6"/>
                <w:sz w:val="16"/>
                <w:szCs w:val="16"/>
                <w:lang w:val="en-GB"/>
              </w:rPr>
            </w:pPr>
            <w:r>
              <w:rPr>
                <w:rFonts w:ascii="Arno Pro" w:hAnsi="Arno Pro" w:cs="Calisto MT"/>
                <w:i/>
                <w:color w:val="000000"/>
                <w:position w:val="-6"/>
                <w:sz w:val="16"/>
                <w:szCs w:val="16"/>
                <w:lang w:val="en-GB"/>
              </w:rPr>
              <w:t>Accepted</w:t>
            </w:r>
          </w:p>
          <w:p w14:paraId="2B71F20F" w14:textId="77777777" w:rsidR="00F047C4" w:rsidRDefault="00F047C4" w:rsidP="001B5598">
            <w:pPr>
              <w:rPr>
                <w:rFonts w:ascii="Arno Pro" w:hAnsi="Arno Pro" w:cs="Calisto MT"/>
                <w:i/>
                <w:color w:val="000000"/>
                <w:position w:val="-6"/>
                <w:sz w:val="16"/>
                <w:szCs w:val="16"/>
                <w:lang w:val="en-GB"/>
              </w:rPr>
            </w:pPr>
            <w:r>
              <w:rPr>
                <w:rFonts w:ascii="Arno Pro" w:hAnsi="Arno Pro" w:cs="Calisto MT"/>
                <w:i/>
                <w:color w:val="000000"/>
                <w:position w:val="-6"/>
                <w:sz w:val="16"/>
                <w:szCs w:val="16"/>
                <w:lang w:val="en-GB"/>
              </w:rPr>
              <w:t>Approved</w:t>
            </w:r>
          </w:p>
          <w:p w14:paraId="4D5FFA85" w14:textId="77777777" w:rsidR="00F047C4" w:rsidRDefault="00F047C4" w:rsidP="001B5598">
            <w:pPr>
              <w:rPr>
                <w:rFonts w:ascii="Arno Pro" w:hAnsi="Arno Pro" w:cs="Calisto MT"/>
                <w:i/>
                <w:color w:val="000000"/>
                <w:position w:val="-6"/>
                <w:sz w:val="16"/>
                <w:szCs w:val="16"/>
                <w:lang w:val="en-GB"/>
              </w:rPr>
            </w:pPr>
            <w:r>
              <w:rPr>
                <w:rFonts w:ascii="Arno Pro" w:hAnsi="Arno Pro" w:cs="Calisto MT"/>
                <w:i/>
                <w:color w:val="000000"/>
                <w:position w:val="-6"/>
                <w:sz w:val="16"/>
                <w:szCs w:val="16"/>
                <w:lang w:val="en-GB"/>
              </w:rPr>
              <w:t>Published</w:t>
            </w:r>
          </w:p>
          <w:p w14:paraId="761AAEAF" w14:textId="77777777" w:rsidR="00F047C4" w:rsidRDefault="00F047C4" w:rsidP="001B5598">
            <w:pPr>
              <w:rPr>
                <w:rFonts w:asciiTheme="minorHAnsi" w:hAnsiTheme="minorHAnsi"/>
                <w:lang w:val="en-US"/>
              </w:rPr>
            </w:pPr>
            <w:r>
              <w:t>________________</w:t>
            </w:r>
          </w:p>
          <w:p w14:paraId="78AC5EC4" w14:textId="77777777" w:rsidR="00F047C4" w:rsidRDefault="00F047C4" w:rsidP="001B5598">
            <w:pPr>
              <w:spacing w:after="160"/>
              <w:rPr>
                <w:i/>
                <w:sz w:val="16"/>
                <w:szCs w:val="16"/>
                <w:lang w:val="en-US"/>
              </w:rPr>
            </w:pPr>
          </w:p>
        </w:tc>
        <w:tc>
          <w:tcPr>
            <w:tcW w:w="6920" w:type="dxa"/>
            <w:gridSpan w:val="2"/>
            <w:tcBorders>
              <w:top w:val="single" w:sz="4" w:space="0" w:color="auto"/>
              <w:left w:val="nil"/>
              <w:bottom w:val="single" w:sz="4" w:space="0" w:color="auto"/>
              <w:right w:val="nil"/>
            </w:tcBorders>
            <w:hideMark/>
          </w:tcPr>
          <w:p w14:paraId="07BC7453" w14:textId="77777777" w:rsidR="00F047C4" w:rsidRDefault="00F047C4" w:rsidP="001B5598">
            <w:pPr>
              <w:rPr>
                <w:rFonts w:ascii="Arno Pro" w:hAnsi="Arno Pro"/>
                <w:sz w:val="28"/>
                <w:szCs w:val="24"/>
              </w:rPr>
            </w:pPr>
            <w:r>
              <w:rPr>
                <w:rFonts w:ascii="Arno Pro" w:hAnsi="Arno Pro"/>
                <w:b/>
                <w:bCs/>
                <w:position w:val="-18"/>
                <w:sz w:val="24"/>
              </w:rPr>
              <w:t>Abstract</w:t>
            </w:r>
          </w:p>
          <w:p w14:paraId="63C75603" w14:textId="77777777" w:rsidR="00F047C4" w:rsidRDefault="00F047C4" w:rsidP="00F047C4">
            <w:pPr>
              <w:rPr>
                <w:i/>
                <w:sz w:val="20"/>
              </w:rPr>
            </w:pPr>
            <w:r>
              <w:rPr>
                <w:i/>
                <w:sz w:val="20"/>
              </w:rPr>
              <w:t>__________________________________________________________</w:t>
            </w:r>
          </w:p>
          <w:p w14:paraId="6CE9F7C4" w14:textId="1D5A102F" w:rsidR="00EF14A3" w:rsidRDefault="00EF14A3" w:rsidP="00F047C4">
            <w:pPr>
              <w:pStyle w:val="BodyText"/>
              <w:ind w:firstLine="720"/>
              <w:jc w:val="both"/>
              <w:rPr>
                <w:iCs/>
              </w:rPr>
            </w:pPr>
            <w:r w:rsidRPr="00EF14A3">
              <w:rPr>
                <w:iCs/>
              </w:rPr>
              <w:t xml:space="preserve">Financial </w:t>
            </w:r>
            <w:proofErr w:type="spellStart"/>
            <w:r w:rsidRPr="00EF14A3">
              <w:rPr>
                <w:iCs/>
              </w:rPr>
              <w:t>ratios</w:t>
            </w:r>
            <w:proofErr w:type="spellEnd"/>
            <w:r w:rsidRPr="00EF14A3">
              <w:rPr>
                <w:iCs/>
              </w:rPr>
              <w:t xml:space="preserve"> are </w:t>
            </w:r>
            <w:proofErr w:type="spellStart"/>
            <w:r w:rsidRPr="00EF14A3">
              <w:rPr>
                <w:iCs/>
              </w:rPr>
              <w:t>created</w:t>
            </w:r>
            <w:proofErr w:type="spellEnd"/>
            <w:r w:rsidRPr="00EF14A3">
              <w:rPr>
                <w:iCs/>
              </w:rPr>
              <w:t xml:space="preserve"> </w:t>
            </w:r>
            <w:proofErr w:type="spellStart"/>
            <w:r w:rsidRPr="00EF14A3">
              <w:rPr>
                <w:iCs/>
              </w:rPr>
              <w:t>with</w:t>
            </w:r>
            <w:proofErr w:type="spellEnd"/>
            <w:r w:rsidRPr="00EF14A3">
              <w:rPr>
                <w:iCs/>
              </w:rPr>
              <w:t xml:space="preserve"> </w:t>
            </w:r>
            <w:proofErr w:type="spellStart"/>
            <w:r w:rsidRPr="00EF14A3">
              <w:rPr>
                <w:iCs/>
              </w:rPr>
              <w:t>the</w:t>
            </w:r>
            <w:proofErr w:type="spellEnd"/>
            <w:r w:rsidRPr="00EF14A3">
              <w:rPr>
                <w:iCs/>
              </w:rPr>
              <w:t xml:space="preserve"> </w:t>
            </w:r>
            <w:proofErr w:type="spellStart"/>
            <w:r w:rsidRPr="00EF14A3">
              <w:rPr>
                <w:iCs/>
              </w:rPr>
              <w:t>use</w:t>
            </w:r>
            <w:proofErr w:type="spellEnd"/>
            <w:r w:rsidRPr="00EF14A3">
              <w:rPr>
                <w:iCs/>
              </w:rPr>
              <w:t xml:space="preserve"> </w:t>
            </w:r>
            <w:proofErr w:type="spellStart"/>
            <w:r w:rsidRPr="00EF14A3">
              <w:rPr>
                <w:iCs/>
              </w:rPr>
              <w:t>of</w:t>
            </w:r>
            <w:proofErr w:type="spellEnd"/>
            <w:r w:rsidRPr="00EF14A3">
              <w:rPr>
                <w:iCs/>
              </w:rPr>
              <w:t xml:space="preserve"> </w:t>
            </w:r>
            <w:proofErr w:type="spellStart"/>
            <w:r w:rsidRPr="00EF14A3">
              <w:rPr>
                <w:iCs/>
              </w:rPr>
              <w:t>numerical</w:t>
            </w:r>
            <w:proofErr w:type="spellEnd"/>
            <w:r w:rsidRPr="00EF14A3">
              <w:rPr>
                <w:iCs/>
              </w:rPr>
              <w:t xml:space="preserve"> </w:t>
            </w:r>
            <w:proofErr w:type="spellStart"/>
            <w:r w:rsidRPr="00EF14A3">
              <w:rPr>
                <w:iCs/>
              </w:rPr>
              <w:t>values</w:t>
            </w:r>
            <w:proofErr w:type="spellEnd"/>
            <w:r w:rsidRPr="00EF14A3">
              <w:rPr>
                <w:iCs/>
              </w:rPr>
              <w:t xml:space="preserve"> </w:t>
            </w:r>
            <w:proofErr w:type="spellStart"/>
            <w:r w:rsidRPr="00EF14A3">
              <w:rPr>
                <w:iCs/>
              </w:rPr>
              <w:t>taken</w:t>
            </w:r>
            <w:proofErr w:type="spellEnd"/>
            <w:r w:rsidRPr="00EF14A3">
              <w:rPr>
                <w:iCs/>
              </w:rPr>
              <w:t xml:space="preserve"> </w:t>
            </w:r>
            <w:proofErr w:type="spellStart"/>
            <w:r w:rsidRPr="00EF14A3">
              <w:rPr>
                <w:iCs/>
              </w:rPr>
              <w:t>from</w:t>
            </w:r>
            <w:proofErr w:type="spellEnd"/>
            <w:r w:rsidRPr="00EF14A3">
              <w:rPr>
                <w:iCs/>
              </w:rPr>
              <w:t xml:space="preserve"> </w:t>
            </w:r>
            <w:proofErr w:type="spellStart"/>
            <w:r w:rsidRPr="00EF14A3">
              <w:rPr>
                <w:iCs/>
              </w:rPr>
              <w:t>financial</w:t>
            </w:r>
            <w:proofErr w:type="spellEnd"/>
            <w:r w:rsidRPr="00EF14A3">
              <w:rPr>
                <w:iCs/>
              </w:rPr>
              <w:t xml:space="preserve"> </w:t>
            </w:r>
            <w:proofErr w:type="spellStart"/>
            <w:r w:rsidRPr="00EF14A3">
              <w:rPr>
                <w:iCs/>
              </w:rPr>
              <w:t>statements</w:t>
            </w:r>
            <w:proofErr w:type="spellEnd"/>
            <w:r w:rsidRPr="00EF14A3">
              <w:rPr>
                <w:iCs/>
              </w:rPr>
              <w:t xml:space="preserve"> </w:t>
            </w:r>
            <w:proofErr w:type="spellStart"/>
            <w:r w:rsidRPr="00EF14A3">
              <w:rPr>
                <w:iCs/>
              </w:rPr>
              <w:t>plays</w:t>
            </w:r>
            <w:proofErr w:type="spellEnd"/>
            <w:r w:rsidRPr="00EF14A3">
              <w:rPr>
                <w:iCs/>
              </w:rPr>
              <w:t xml:space="preserve"> </w:t>
            </w:r>
            <w:proofErr w:type="spellStart"/>
            <w:r w:rsidRPr="00EF14A3">
              <w:rPr>
                <w:iCs/>
              </w:rPr>
              <w:t>an</w:t>
            </w:r>
            <w:proofErr w:type="spellEnd"/>
            <w:r w:rsidRPr="00EF14A3">
              <w:rPr>
                <w:iCs/>
              </w:rPr>
              <w:t xml:space="preserve"> </w:t>
            </w:r>
            <w:proofErr w:type="spellStart"/>
            <w:r w:rsidRPr="00EF14A3">
              <w:rPr>
                <w:iCs/>
              </w:rPr>
              <w:t>important</w:t>
            </w:r>
            <w:proofErr w:type="spellEnd"/>
            <w:r w:rsidRPr="00EF14A3">
              <w:rPr>
                <w:iCs/>
              </w:rPr>
              <w:t xml:space="preserve"> </w:t>
            </w:r>
            <w:proofErr w:type="spellStart"/>
            <w:r w:rsidRPr="00EF14A3">
              <w:rPr>
                <w:iCs/>
              </w:rPr>
              <w:t>role</w:t>
            </w:r>
            <w:proofErr w:type="spellEnd"/>
            <w:r w:rsidRPr="00EF14A3">
              <w:rPr>
                <w:iCs/>
              </w:rPr>
              <w:t xml:space="preserve"> in </w:t>
            </w:r>
            <w:proofErr w:type="spellStart"/>
            <w:r w:rsidRPr="00EF14A3">
              <w:rPr>
                <w:iCs/>
              </w:rPr>
              <w:t>detecting</w:t>
            </w:r>
            <w:proofErr w:type="spellEnd"/>
            <w:r w:rsidRPr="00EF14A3">
              <w:rPr>
                <w:iCs/>
              </w:rPr>
              <w:t xml:space="preserve"> </w:t>
            </w:r>
            <w:proofErr w:type="spellStart"/>
            <w:r w:rsidRPr="00EF14A3">
              <w:rPr>
                <w:iCs/>
              </w:rPr>
              <w:t>the</w:t>
            </w:r>
            <w:proofErr w:type="spellEnd"/>
            <w:r w:rsidRPr="00EF14A3">
              <w:rPr>
                <w:iCs/>
              </w:rPr>
              <w:t xml:space="preserve"> </w:t>
            </w:r>
            <w:proofErr w:type="spellStart"/>
            <w:r w:rsidRPr="00EF14A3">
              <w:rPr>
                <w:iCs/>
              </w:rPr>
              <w:t>condition</w:t>
            </w:r>
            <w:proofErr w:type="spellEnd"/>
            <w:r w:rsidRPr="00EF14A3">
              <w:rPr>
                <w:iCs/>
              </w:rPr>
              <w:t xml:space="preserve"> </w:t>
            </w:r>
            <w:proofErr w:type="spellStart"/>
            <w:r w:rsidRPr="00EF14A3">
              <w:rPr>
                <w:iCs/>
              </w:rPr>
              <w:t>of</w:t>
            </w:r>
            <w:proofErr w:type="spellEnd"/>
            <w:r w:rsidRPr="00EF14A3">
              <w:rPr>
                <w:iCs/>
              </w:rPr>
              <w:t xml:space="preserve"> </w:t>
            </w:r>
            <w:proofErr w:type="spellStart"/>
            <w:r w:rsidRPr="00EF14A3">
              <w:rPr>
                <w:iCs/>
              </w:rPr>
              <w:t>an</w:t>
            </w:r>
            <w:proofErr w:type="spellEnd"/>
            <w:r w:rsidRPr="00EF14A3">
              <w:rPr>
                <w:iCs/>
              </w:rPr>
              <w:t xml:space="preserve"> </w:t>
            </w:r>
            <w:proofErr w:type="spellStart"/>
            <w:r w:rsidRPr="00EF14A3">
              <w:rPr>
                <w:iCs/>
              </w:rPr>
              <w:t>entity</w:t>
            </w:r>
            <w:proofErr w:type="spellEnd"/>
            <w:r w:rsidRPr="00EF14A3">
              <w:rPr>
                <w:iCs/>
              </w:rPr>
              <w:t xml:space="preserve">. The </w:t>
            </w:r>
            <w:proofErr w:type="spellStart"/>
            <w:r w:rsidRPr="00EF14A3">
              <w:rPr>
                <w:iCs/>
              </w:rPr>
              <w:t>result</w:t>
            </w:r>
            <w:proofErr w:type="spellEnd"/>
            <w:r w:rsidRPr="00EF14A3">
              <w:rPr>
                <w:iCs/>
              </w:rPr>
              <w:t xml:space="preserve"> </w:t>
            </w:r>
            <w:proofErr w:type="spellStart"/>
            <w:r w:rsidRPr="00EF14A3">
              <w:rPr>
                <w:iCs/>
              </w:rPr>
              <w:t>of</w:t>
            </w:r>
            <w:proofErr w:type="spellEnd"/>
            <w:r w:rsidRPr="00EF14A3">
              <w:rPr>
                <w:iCs/>
              </w:rPr>
              <w:t xml:space="preserve"> </w:t>
            </w:r>
            <w:proofErr w:type="spellStart"/>
            <w:r w:rsidRPr="00EF14A3">
              <w:rPr>
                <w:iCs/>
              </w:rPr>
              <w:t>these</w:t>
            </w:r>
            <w:proofErr w:type="spellEnd"/>
            <w:r w:rsidRPr="00EF14A3">
              <w:rPr>
                <w:iCs/>
              </w:rPr>
              <w:t xml:space="preserve"> </w:t>
            </w:r>
            <w:proofErr w:type="spellStart"/>
            <w:r w:rsidRPr="00EF14A3">
              <w:rPr>
                <w:iCs/>
              </w:rPr>
              <w:t>financial</w:t>
            </w:r>
            <w:proofErr w:type="spellEnd"/>
            <w:r w:rsidRPr="00EF14A3">
              <w:rPr>
                <w:iCs/>
              </w:rPr>
              <w:t xml:space="preserve"> </w:t>
            </w:r>
            <w:proofErr w:type="spellStart"/>
            <w:r w:rsidRPr="00EF14A3">
              <w:rPr>
                <w:iCs/>
              </w:rPr>
              <w:t>ratios are</w:t>
            </w:r>
            <w:proofErr w:type="spellEnd"/>
            <w:r w:rsidRPr="00EF14A3">
              <w:rPr>
                <w:iCs/>
              </w:rPr>
              <w:t xml:space="preserve"> </w:t>
            </w:r>
            <w:proofErr w:type="spellStart"/>
            <w:r w:rsidRPr="00EF14A3">
              <w:rPr>
                <w:iCs/>
              </w:rPr>
              <w:t>used</w:t>
            </w:r>
            <w:proofErr w:type="spellEnd"/>
            <w:r w:rsidRPr="00EF14A3">
              <w:rPr>
                <w:iCs/>
              </w:rPr>
              <w:t xml:space="preserve"> </w:t>
            </w:r>
            <w:proofErr w:type="spellStart"/>
            <w:r w:rsidRPr="00EF14A3">
              <w:rPr>
                <w:iCs/>
              </w:rPr>
              <w:t>to</w:t>
            </w:r>
            <w:proofErr w:type="spellEnd"/>
            <w:r w:rsidRPr="00EF14A3">
              <w:rPr>
                <w:iCs/>
              </w:rPr>
              <w:t xml:space="preserve"> </w:t>
            </w:r>
            <w:proofErr w:type="spellStart"/>
            <w:r w:rsidRPr="00EF14A3">
              <w:rPr>
                <w:iCs/>
              </w:rPr>
              <w:t>assess</w:t>
            </w:r>
            <w:proofErr w:type="spellEnd"/>
            <w:r w:rsidRPr="00EF14A3">
              <w:rPr>
                <w:iCs/>
              </w:rPr>
              <w:t xml:space="preserve"> </w:t>
            </w:r>
            <w:proofErr w:type="spellStart"/>
            <w:r w:rsidRPr="00EF14A3">
              <w:rPr>
                <w:iCs/>
              </w:rPr>
              <w:t>management</w:t>
            </w:r>
            <w:proofErr w:type="spellEnd"/>
            <w:r w:rsidRPr="00EF14A3">
              <w:rPr>
                <w:iCs/>
              </w:rPr>
              <w:t xml:space="preserve"> </w:t>
            </w:r>
            <w:proofErr w:type="spellStart"/>
            <w:r w:rsidRPr="00EF14A3">
              <w:rPr>
                <w:iCs/>
              </w:rPr>
              <w:t>performance</w:t>
            </w:r>
            <w:proofErr w:type="spellEnd"/>
            <w:r w:rsidRPr="00EF14A3">
              <w:rPr>
                <w:iCs/>
              </w:rPr>
              <w:t xml:space="preserve"> </w:t>
            </w:r>
            <w:proofErr w:type="spellStart"/>
            <w:r w:rsidRPr="00EF14A3">
              <w:rPr>
                <w:iCs/>
              </w:rPr>
              <w:t>can</w:t>
            </w:r>
            <w:proofErr w:type="spellEnd"/>
            <w:r w:rsidRPr="00EF14A3">
              <w:rPr>
                <w:iCs/>
              </w:rPr>
              <w:t xml:space="preserve"> </w:t>
            </w:r>
            <w:proofErr w:type="spellStart"/>
            <w:r w:rsidRPr="00EF14A3">
              <w:rPr>
                <w:iCs/>
              </w:rPr>
              <w:t>be</w:t>
            </w:r>
            <w:proofErr w:type="spellEnd"/>
            <w:r w:rsidRPr="00EF14A3">
              <w:rPr>
                <w:iCs/>
              </w:rPr>
              <w:t xml:space="preserve"> </w:t>
            </w:r>
            <w:proofErr w:type="spellStart"/>
            <w:r w:rsidRPr="00EF14A3">
              <w:rPr>
                <w:iCs/>
              </w:rPr>
              <w:t>used</w:t>
            </w:r>
            <w:proofErr w:type="spellEnd"/>
            <w:r w:rsidRPr="00EF14A3">
              <w:rPr>
                <w:iCs/>
              </w:rPr>
              <w:t xml:space="preserve"> as </w:t>
            </w:r>
            <w:proofErr w:type="spellStart"/>
            <w:r w:rsidRPr="00EF14A3">
              <w:rPr>
                <w:iCs/>
              </w:rPr>
              <w:t>an</w:t>
            </w:r>
            <w:proofErr w:type="spellEnd"/>
            <w:r w:rsidRPr="00EF14A3">
              <w:rPr>
                <w:iCs/>
              </w:rPr>
              <w:t xml:space="preserve"> </w:t>
            </w:r>
            <w:proofErr w:type="spellStart"/>
            <w:r w:rsidRPr="00EF14A3">
              <w:rPr>
                <w:iCs/>
              </w:rPr>
              <w:t>evaluation</w:t>
            </w:r>
            <w:proofErr w:type="spellEnd"/>
            <w:r w:rsidRPr="00EF14A3">
              <w:rPr>
                <w:iCs/>
              </w:rPr>
              <w:t xml:space="preserve"> </w:t>
            </w:r>
            <w:proofErr w:type="spellStart"/>
            <w:r w:rsidRPr="00EF14A3">
              <w:rPr>
                <w:iCs/>
              </w:rPr>
              <w:t>of</w:t>
            </w:r>
            <w:proofErr w:type="spellEnd"/>
            <w:r w:rsidRPr="00EF14A3">
              <w:rPr>
                <w:iCs/>
              </w:rPr>
              <w:t xml:space="preserve"> </w:t>
            </w:r>
            <w:proofErr w:type="spellStart"/>
            <w:r w:rsidRPr="00EF14A3">
              <w:rPr>
                <w:iCs/>
              </w:rPr>
              <w:t>things</w:t>
            </w:r>
            <w:proofErr w:type="spellEnd"/>
            <w:r w:rsidRPr="00EF14A3">
              <w:rPr>
                <w:iCs/>
              </w:rPr>
              <w:t xml:space="preserve"> </w:t>
            </w:r>
            <w:proofErr w:type="spellStart"/>
            <w:r w:rsidRPr="00EF14A3">
              <w:rPr>
                <w:iCs/>
              </w:rPr>
              <w:t>that</w:t>
            </w:r>
            <w:proofErr w:type="spellEnd"/>
            <w:r w:rsidRPr="00EF14A3">
              <w:rPr>
                <w:iCs/>
              </w:rPr>
              <w:t xml:space="preserve"> </w:t>
            </w:r>
            <w:proofErr w:type="spellStart"/>
            <w:r w:rsidRPr="00EF14A3">
              <w:rPr>
                <w:iCs/>
              </w:rPr>
              <w:t>need</w:t>
            </w:r>
            <w:proofErr w:type="spellEnd"/>
            <w:r w:rsidRPr="00EF14A3">
              <w:rPr>
                <w:iCs/>
              </w:rPr>
              <w:t xml:space="preserve"> </w:t>
            </w:r>
            <w:proofErr w:type="spellStart"/>
            <w:r w:rsidRPr="00EF14A3">
              <w:rPr>
                <w:iCs/>
              </w:rPr>
              <w:t>to</w:t>
            </w:r>
            <w:proofErr w:type="spellEnd"/>
            <w:r w:rsidRPr="00EF14A3">
              <w:rPr>
                <w:iCs/>
              </w:rPr>
              <w:t xml:space="preserve"> </w:t>
            </w:r>
            <w:proofErr w:type="spellStart"/>
            <w:r w:rsidRPr="00EF14A3">
              <w:rPr>
                <w:iCs/>
              </w:rPr>
              <w:t>be</w:t>
            </w:r>
            <w:proofErr w:type="spellEnd"/>
            <w:r w:rsidRPr="00EF14A3">
              <w:rPr>
                <w:iCs/>
              </w:rPr>
              <w:t xml:space="preserve"> </w:t>
            </w:r>
            <w:proofErr w:type="spellStart"/>
            <w:r w:rsidRPr="00EF14A3">
              <w:rPr>
                <w:iCs/>
              </w:rPr>
              <w:t>done</w:t>
            </w:r>
            <w:proofErr w:type="spellEnd"/>
            <w:r w:rsidRPr="00EF14A3">
              <w:rPr>
                <w:iCs/>
              </w:rPr>
              <w:t xml:space="preserve"> </w:t>
            </w:r>
            <w:proofErr w:type="spellStart"/>
            <w:r w:rsidRPr="00EF14A3">
              <w:rPr>
                <w:iCs/>
              </w:rPr>
              <w:t>so</w:t>
            </w:r>
            <w:proofErr w:type="spellEnd"/>
            <w:r w:rsidRPr="00EF14A3">
              <w:rPr>
                <w:iCs/>
              </w:rPr>
              <w:t xml:space="preserve"> </w:t>
            </w:r>
            <w:proofErr w:type="spellStart"/>
            <w:r w:rsidRPr="00EF14A3">
              <w:rPr>
                <w:iCs/>
              </w:rPr>
              <w:t>that</w:t>
            </w:r>
            <w:proofErr w:type="spellEnd"/>
            <w:r w:rsidRPr="00EF14A3">
              <w:rPr>
                <w:iCs/>
              </w:rPr>
              <w:t xml:space="preserve"> </w:t>
            </w:r>
            <w:proofErr w:type="spellStart"/>
            <w:r w:rsidRPr="00EF14A3">
              <w:rPr>
                <w:iCs/>
              </w:rPr>
              <w:t>management</w:t>
            </w:r>
            <w:proofErr w:type="spellEnd"/>
            <w:r w:rsidRPr="00EF14A3">
              <w:rPr>
                <w:iCs/>
              </w:rPr>
              <w:t xml:space="preserve"> </w:t>
            </w:r>
            <w:proofErr w:type="spellStart"/>
            <w:r w:rsidRPr="00EF14A3">
              <w:rPr>
                <w:iCs/>
              </w:rPr>
              <w:t>performance</w:t>
            </w:r>
            <w:proofErr w:type="spellEnd"/>
            <w:r w:rsidRPr="00EF14A3">
              <w:rPr>
                <w:iCs/>
              </w:rPr>
              <w:t xml:space="preserve"> </w:t>
            </w:r>
            <w:proofErr w:type="spellStart"/>
            <w:r w:rsidRPr="00EF14A3">
              <w:rPr>
                <w:iCs/>
              </w:rPr>
              <w:t>can</w:t>
            </w:r>
            <w:proofErr w:type="spellEnd"/>
            <w:r w:rsidRPr="00EF14A3">
              <w:rPr>
                <w:iCs/>
              </w:rPr>
              <w:t xml:space="preserve"> </w:t>
            </w:r>
            <w:proofErr w:type="spellStart"/>
            <w:r w:rsidRPr="00EF14A3">
              <w:rPr>
                <w:iCs/>
              </w:rPr>
              <w:t>be</w:t>
            </w:r>
            <w:proofErr w:type="spellEnd"/>
            <w:r w:rsidRPr="00EF14A3">
              <w:rPr>
                <w:iCs/>
              </w:rPr>
              <w:t xml:space="preserve"> </w:t>
            </w:r>
            <w:proofErr w:type="spellStart"/>
            <w:r w:rsidRPr="00EF14A3">
              <w:rPr>
                <w:iCs/>
              </w:rPr>
              <w:t>improved</w:t>
            </w:r>
            <w:proofErr w:type="spellEnd"/>
            <w:r w:rsidRPr="00EF14A3">
              <w:rPr>
                <w:iCs/>
              </w:rPr>
              <w:t xml:space="preserve"> </w:t>
            </w:r>
            <w:proofErr w:type="spellStart"/>
            <w:r w:rsidRPr="00EF14A3">
              <w:rPr>
                <w:iCs/>
              </w:rPr>
              <w:t>or</w:t>
            </w:r>
            <w:proofErr w:type="spellEnd"/>
            <w:r w:rsidRPr="00EF14A3">
              <w:rPr>
                <w:iCs/>
              </w:rPr>
              <w:t xml:space="preserve"> </w:t>
            </w:r>
            <w:proofErr w:type="spellStart"/>
            <w:r w:rsidRPr="00EF14A3">
              <w:rPr>
                <w:iCs/>
              </w:rPr>
              <w:t>maintained</w:t>
            </w:r>
            <w:proofErr w:type="spellEnd"/>
            <w:r w:rsidRPr="00EF14A3">
              <w:rPr>
                <w:iCs/>
              </w:rPr>
              <w:t xml:space="preserve"> in </w:t>
            </w:r>
            <w:proofErr w:type="spellStart"/>
            <w:r w:rsidRPr="00EF14A3">
              <w:rPr>
                <w:iCs/>
              </w:rPr>
              <w:t>accordance</w:t>
            </w:r>
            <w:proofErr w:type="spellEnd"/>
            <w:r w:rsidRPr="00EF14A3">
              <w:rPr>
                <w:iCs/>
              </w:rPr>
              <w:t xml:space="preserve"> </w:t>
            </w:r>
            <w:proofErr w:type="spellStart"/>
            <w:r w:rsidRPr="00EF14A3">
              <w:rPr>
                <w:iCs/>
              </w:rPr>
              <w:t>with</w:t>
            </w:r>
            <w:proofErr w:type="spellEnd"/>
            <w:r w:rsidRPr="00EF14A3">
              <w:rPr>
                <w:iCs/>
              </w:rPr>
              <w:t xml:space="preserve"> </w:t>
            </w:r>
            <w:proofErr w:type="spellStart"/>
            <w:r w:rsidRPr="00EF14A3">
              <w:rPr>
                <w:iCs/>
              </w:rPr>
              <w:t>company</w:t>
            </w:r>
            <w:proofErr w:type="spellEnd"/>
            <w:r w:rsidRPr="00EF14A3">
              <w:rPr>
                <w:iCs/>
              </w:rPr>
              <w:t xml:space="preserve"> </w:t>
            </w:r>
            <w:proofErr w:type="spellStart"/>
            <w:r w:rsidRPr="00EF14A3">
              <w:rPr>
                <w:iCs/>
              </w:rPr>
              <w:t>targets</w:t>
            </w:r>
            <w:proofErr w:type="spellEnd"/>
            <w:r w:rsidRPr="00EF14A3">
              <w:rPr>
                <w:iCs/>
              </w:rPr>
              <w:t xml:space="preserve">. </w:t>
            </w:r>
            <w:proofErr w:type="spellStart"/>
            <w:r w:rsidRPr="00EF14A3">
              <w:rPr>
                <w:iCs/>
              </w:rPr>
              <w:t>This</w:t>
            </w:r>
            <w:proofErr w:type="spellEnd"/>
            <w:r w:rsidRPr="00EF14A3">
              <w:rPr>
                <w:iCs/>
              </w:rPr>
              <w:t xml:space="preserve"> </w:t>
            </w:r>
            <w:proofErr w:type="spellStart"/>
            <w:r w:rsidRPr="00EF14A3">
              <w:rPr>
                <w:iCs/>
              </w:rPr>
              <w:t>purpose</w:t>
            </w:r>
            <w:proofErr w:type="spellEnd"/>
            <w:r w:rsidRPr="00EF14A3">
              <w:rPr>
                <w:iCs/>
              </w:rPr>
              <w:t xml:space="preserve"> </w:t>
            </w:r>
            <w:proofErr w:type="spellStart"/>
            <w:r w:rsidRPr="00EF14A3">
              <w:rPr>
                <w:iCs/>
              </w:rPr>
              <w:t>of</w:t>
            </w:r>
            <w:proofErr w:type="spellEnd"/>
            <w:r w:rsidRPr="00EF14A3">
              <w:rPr>
                <w:iCs/>
              </w:rPr>
              <w:t xml:space="preserve"> </w:t>
            </w:r>
            <w:proofErr w:type="spellStart"/>
            <w:r w:rsidRPr="00EF14A3">
              <w:rPr>
                <w:iCs/>
              </w:rPr>
              <w:t>this</w:t>
            </w:r>
            <w:proofErr w:type="spellEnd"/>
            <w:r w:rsidRPr="00EF14A3">
              <w:rPr>
                <w:iCs/>
              </w:rPr>
              <w:t xml:space="preserve"> </w:t>
            </w:r>
            <w:proofErr w:type="spellStart"/>
            <w:r w:rsidRPr="00EF14A3">
              <w:rPr>
                <w:iCs/>
              </w:rPr>
              <w:t>research</w:t>
            </w:r>
            <w:proofErr w:type="spellEnd"/>
            <w:r w:rsidRPr="00EF14A3">
              <w:rPr>
                <w:iCs/>
              </w:rPr>
              <w:t xml:space="preserve"> </w:t>
            </w:r>
            <w:proofErr w:type="spellStart"/>
            <w:r w:rsidRPr="00EF14A3">
              <w:rPr>
                <w:iCs/>
              </w:rPr>
              <w:t>is</w:t>
            </w:r>
            <w:proofErr w:type="spellEnd"/>
            <w:r w:rsidRPr="00EF14A3">
              <w:rPr>
                <w:iCs/>
              </w:rPr>
              <w:t xml:space="preserve"> </w:t>
            </w:r>
            <w:proofErr w:type="spellStart"/>
            <w:r w:rsidRPr="00EF14A3">
              <w:rPr>
                <w:iCs/>
              </w:rPr>
              <w:t>to</w:t>
            </w:r>
            <w:proofErr w:type="spellEnd"/>
            <w:r w:rsidRPr="00EF14A3">
              <w:rPr>
                <w:iCs/>
              </w:rPr>
              <w:t xml:space="preserve"> </w:t>
            </w:r>
            <w:proofErr w:type="spellStart"/>
            <w:r w:rsidRPr="00EF14A3">
              <w:rPr>
                <w:iCs/>
              </w:rPr>
              <w:t>find</w:t>
            </w:r>
            <w:proofErr w:type="spellEnd"/>
            <w:r w:rsidRPr="00EF14A3">
              <w:rPr>
                <w:iCs/>
              </w:rPr>
              <w:t xml:space="preserve"> </w:t>
            </w:r>
            <w:proofErr w:type="spellStart"/>
            <w:r w:rsidRPr="00EF14A3">
              <w:rPr>
                <w:iCs/>
              </w:rPr>
              <w:t>the</w:t>
            </w:r>
            <w:proofErr w:type="spellEnd"/>
            <w:r w:rsidRPr="00EF14A3">
              <w:rPr>
                <w:iCs/>
              </w:rPr>
              <w:t xml:space="preserve"> </w:t>
            </w:r>
            <w:proofErr w:type="spellStart"/>
            <w:r w:rsidRPr="00EF14A3">
              <w:rPr>
                <w:iCs/>
              </w:rPr>
              <w:t>effect</w:t>
            </w:r>
            <w:proofErr w:type="spellEnd"/>
            <w:r w:rsidRPr="00EF14A3">
              <w:rPr>
                <w:iCs/>
              </w:rPr>
              <w:t xml:space="preserve"> </w:t>
            </w:r>
            <w:proofErr w:type="spellStart"/>
            <w:r w:rsidRPr="00EF14A3">
              <w:rPr>
                <w:iCs/>
              </w:rPr>
              <w:t>of</w:t>
            </w:r>
            <w:proofErr w:type="spellEnd"/>
            <w:r w:rsidRPr="00EF14A3">
              <w:rPr>
                <w:iCs/>
              </w:rPr>
              <w:t xml:space="preserve"> </w:t>
            </w:r>
            <w:proofErr w:type="spellStart"/>
            <w:r w:rsidRPr="00EF14A3">
              <w:rPr>
                <w:iCs/>
              </w:rPr>
              <w:t>liquidity</w:t>
            </w:r>
            <w:proofErr w:type="spellEnd"/>
            <w:r w:rsidRPr="00EF14A3">
              <w:rPr>
                <w:iCs/>
              </w:rPr>
              <w:t xml:space="preserve">, </w:t>
            </w:r>
            <w:proofErr w:type="spellStart"/>
            <w:r w:rsidRPr="00EF14A3">
              <w:rPr>
                <w:iCs/>
              </w:rPr>
              <w:t>profitability</w:t>
            </w:r>
            <w:proofErr w:type="spellEnd"/>
            <w:r w:rsidRPr="00EF14A3">
              <w:rPr>
                <w:iCs/>
              </w:rPr>
              <w:t xml:space="preserve"> </w:t>
            </w:r>
            <w:proofErr w:type="spellStart"/>
            <w:r w:rsidRPr="00EF14A3">
              <w:rPr>
                <w:iCs/>
              </w:rPr>
              <w:t>and</w:t>
            </w:r>
            <w:proofErr w:type="spellEnd"/>
            <w:r w:rsidRPr="00EF14A3">
              <w:rPr>
                <w:iCs/>
              </w:rPr>
              <w:t xml:space="preserve"> </w:t>
            </w:r>
            <w:proofErr w:type="spellStart"/>
            <w:r w:rsidRPr="00EF14A3">
              <w:rPr>
                <w:iCs/>
              </w:rPr>
              <w:t>solvability</w:t>
            </w:r>
            <w:proofErr w:type="spellEnd"/>
            <w:r w:rsidRPr="00EF14A3">
              <w:rPr>
                <w:iCs/>
              </w:rPr>
              <w:t xml:space="preserve"> </w:t>
            </w:r>
            <w:proofErr w:type="spellStart"/>
            <w:r w:rsidRPr="00EF14A3">
              <w:rPr>
                <w:iCs/>
              </w:rPr>
              <w:t>on</w:t>
            </w:r>
            <w:proofErr w:type="spellEnd"/>
            <w:r w:rsidRPr="00EF14A3">
              <w:rPr>
                <w:iCs/>
              </w:rPr>
              <w:t xml:space="preserve"> </w:t>
            </w:r>
            <w:proofErr w:type="spellStart"/>
            <w:r w:rsidRPr="00EF14A3">
              <w:rPr>
                <w:iCs/>
              </w:rPr>
              <w:t>going</w:t>
            </w:r>
            <w:proofErr w:type="spellEnd"/>
            <w:r w:rsidRPr="00EF14A3">
              <w:rPr>
                <w:iCs/>
              </w:rPr>
              <w:t xml:space="preserve"> </w:t>
            </w:r>
            <w:proofErr w:type="spellStart"/>
            <w:r w:rsidRPr="00EF14A3">
              <w:rPr>
                <w:iCs/>
              </w:rPr>
              <w:t>concern</w:t>
            </w:r>
            <w:proofErr w:type="spellEnd"/>
            <w:r w:rsidRPr="00EF14A3">
              <w:rPr>
                <w:iCs/>
              </w:rPr>
              <w:t xml:space="preserve"> audit </w:t>
            </w:r>
            <w:proofErr w:type="spellStart"/>
            <w:r w:rsidRPr="00EF14A3">
              <w:rPr>
                <w:iCs/>
              </w:rPr>
              <w:t>opinion</w:t>
            </w:r>
            <w:proofErr w:type="spellEnd"/>
            <w:r w:rsidRPr="00EF14A3">
              <w:rPr>
                <w:iCs/>
              </w:rPr>
              <w:t xml:space="preserve"> </w:t>
            </w:r>
            <w:proofErr w:type="spellStart"/>
            <w:r w:rsidRPr="00EF14A3">
              <w:rPr>
                <w:iCs/>
              </w:rPr>
              <w:t>either</w:t>
            </w:r>
            <w:proofErr w:type="spellEnd"/>
            <w:r w:rsidRPr="00EF14A3">
              <w:rPr>
                <w:iCs/>
              </w:rPr>
              <w:t xml:space="preserve"> </w:t>
            </w:r>
            <w:proofErr w:type="spellStart"/>
            <w:r w:rsidRPr="00EF14A3">
              <w:rPr>
                <w:iCs/>
              </w:rPr>
              <w:t>simultaneously</w:t>
            </w:r>
            <w:proofErr w:type="spellEnd"/>
            <w:r w:rsidRPr="00EF14A3">
              <w:rPr>
                <w:iCs/>
              </w:rPr>
              <w:t xml:space="preserve"> </w:t>
            </w:r>
            <w:proofErr w:type="spellStart"/>
            <w:r w:rsidRPr="00EF14A3">
              <w:rPr>
                <w:iCs/>
              </w:rPr>
              <w:t>or</w:t>
            </w:r>
            <w:proofErr w:type="spellEnd"/>
            <w:r w:rsidRPr="00EF14A3">
              <w:rPr>
                <w:iCs/>
              </w:rPr>
              <w:t xml:space="preserve"> </w:t>
            </w:r>
            <w:proofErr w:type="spellStart"/>
            <w:r w:rsidRPr="00EF14A3">
              <w:rPr>
                <w:iCs/>
              </w:rPr>
              <w:t>partially</w:t>
            </w:r>
            <w:proofErr w:type="spellEnd"/>
            <w:r w:rsidRPr="00EF14A3">
              <w:rPr>
                <w:iCs/>
              </w:rPr>
              <w:t xml:space="preserve">. The </w:t>
            </w:r>
            <w:proofErr w:type="spellStart"/>
            <w:r w:rsidRPr="00EF14A3">
              <w:rPr>
                <w:iCs/>
              </w:rPr>
              <w:t>method</w:t>
            </w:r>
            <w:proofErr w:type="spellEnd"/>
            <w:r w:rsidRPr="00EF14A3">
              <w:rPr>
                <w:iCs/>
              </w:rPr>
              <w:t xml:space="preserve"> </w:t>
            </w:r>
            <w:proofErr w:type="spellStart"/>
            <w:r w:rsidRPr="00EF14A3">
              <w:rPr>
                <w:iCs/>
              </w:rPr>
              <w:t>used</w:t>
            </w:r>
            <w:proofErr w:type="spellEnd"/>
            <w:r w:rsidRPr="00EF14A3">
              <w:rPr>
                <w:iCs/>
              </w:rPr>
              <w:t xml:space="preserve"> in </w:t>
            </w:r>
            <w:proofErr w:type="spellStart"/>
            <w:r w:rsidRPr="00EF14A3">
              <w:rPr>
                <w:iCs/>
              </w:rPr>
              <w:t>this</w:t>
            </w:r>
            <w:proofErr w:type="spellEnd"/>
            <w:r w:rsidRPr="00EF14A3">
              <w:rPr>
                <w:iCs/>
              </w:rPr>
              <w:t xml:space="preserve"> </w:t>
            </w:r>
            <w:proofErr w:type="spellStart"/>
            <w:r w:rsidRPr="00EF14A3">
              <w:rPr>
                <w:iCs/>
              </w:rPr>
              <w:t>research</w:t>
            </w:r>
            <w:proofErr w:type="spellEnd"/>
            <w:r w:rsidRPr="00EF14A3">
              <w:rPr>
                <w:iCs/>
              </w:rPr>
              <w:t xml:space="preserve"> </w:t>
            </w:r>
            <w:proofErr w:type="spellStart"/>
            <w:r w:rsidRPr="00EF14A3">
              <w:rPr>
                <w:iCs/>
              </w:rPr>
              <w:t>is</w:t>
            </w:r>
            <w:proofErr w:type="spellEnd"/>
            <w:r w:rsidRPr="00EF14A3">
              <w:rPr>
                <w:iCs/>
              </w:rPr>
              <w:t xml:space="preserve"> </w:t>
            </w:r>
            <w:proofErr w:type="spellStart"/>
            <w:r w:rsidRPr="00EF14A3">
              <w:rPr>
                <w:iCs/>
              </w:rPr>
              <w:t>logistic</w:t>
            </w:r>
            <w:proofErr w:type="spellEnd"/>
            <w:r w:rsidRPr="00EF14A3">
              <w:rPr>
                <w:iCs/>
              </w:rPr>
              <w:t xml:space="preserve"> </w:t>
            </w:r>
            <w:proofErr w:type="spellStart"/>
            <w:r w:rsidRPr="00EF14A3">
              <w:rPr>
                <w:iCs/>
              </w:rPr>
              <w:t>regression</w:t>
            </w:r>
            <w:proofErr w:type="spellEnd"/>
            <w:r w:rsidRPr="00EF14A3">
              <w:rPr>
                <w:iCs/>
              </w:rPr>
              <w:t xml:space="preserve"> </w:t>
            </w:r>
            <w:proofErr w:type="spellStart"/>
            <w:r w:rsidRPr="00EF14A3">
              <w:rPr>
                <w:iCs/>
              </w:rPr>
              <w:t>and</w:t>
            </w:r>
            <w:proofErr w:type="spellEnd"/>
            <w:r w:rsidRPr="00EF14A3">
              <w:rPr>
                <w:iCs/>
              </w:rPr>
              <w:t xml:space="preserve"> </w:t>
            </w:r>
            <w:proofErr w:type="spellStart"/>
            <w:r w:rsidRPr="00EF14A3">
              <w:rPr>
                <w:iCs/>
              </w:rPr>
              <w:t>analysis</w:t>
            </w:r>
            <w:proofErr w:type="spellEnd"/>
            <w:r w:rsidRPr="00EF14A3">
              <w:rPr>
                <w:iCs/>
              </w:rPr>
              <w:t xml:space="preserve"> </w:t>
            </w:r>
            <w:proofErr w:type="spellStart"/>
            <w:r w:rsidRPr="00EF14A3">
              <w:rPr>
                <w:iCs/>
              </w:rPr>
              <w:t>tool</w:t>
            </w:r>
            <w:proofErr w:type="spellEnd"/>
            <w:r w:rsidRPr="00EF14A3">
              <w:rPr>
                <w:iCs/>
              </w:rPr>
              <w:t xml:space="preserve"> </w:t>
            </w:r>
            <w:proofErr w:type="spellStart"/>
            <w:r w:rsidRPr="00EF14A3">
              <w:rPr>
                <w:iCs/>
              </w:rPr>
              <w:t>used</w:t>
            </w:r>
            <w:proofErr w:type="spellEnd"/>
            <w:r w:rsidRPr="00EF14A3">
              <w:rPr>
                <w:iCs/>
              </w:rPr>
              <w:t xml:space="preserve"> in </w:t>
            </w:r>
            <w:proofErr w:type="spellStart"/>
            <w:r w:rsidRPr="00EF14A3">
              <w:rPr>
                <w:iCs/>
              </w:rPr>
              <w:t>this</w:t>
            </w:r>
            <w:proofErr w:type="spellEnd"/>
            <w:r w:rsidRPr="00EF14A3">
              <w:rPr>
                <w:iCs/>
              </w:rPr>
              <w:t xml:space="preserve"> </w:t>
            </w:r>
            <w:proofErr w:type="spellStart"/>
            <w:r w:rsidRPr="00EF14A3">
              <w:rPr>
                <w:iCs/>
              </w:rPr>
              <w:t>research</w:t>
            </w:r>
            <w:proofErr w:type="spellEnd"/>
            <w:r w:rsidRPr="00EF14A3">
              <w:rPr>
                <w:iCs/>
              </w:rPr>
              <w:t xml:space="preserve"> </w:t>
            </w:r>
            <w:proofErr w:type="spellStart"/>
            <w:r w:rsidRPr="00EF14A3">
              <w:rPr>
                <w:iCs/>
              </w:rPr>
              <w:t>was</w:t>
            </w:r>
            <w:proofErr w:type="spellEnd"/>
            <w:r w:rsidRPr="00EF14A3">
              <w:rPr>
                <w:iCs/>
              </w:rPr>
              <w:t xml:space="preserve"> </w:t>
            </w:r>
            <w:proofErr w:type="spellStart"/>
            <w:r w:rsidRPr="00EF14A3">
              <w:rPr>
                <w:iCs/>
              </w:rPr>
              <w:t>Statistical</w:t>
            </w:r>
            <w:proofErr w:type="spellEnd"/>
            <w:r w:rsidRPr="00EF14A3">
              <w:rPr>
                <w:iCs/>
              </w:rPr>
              <w:t xml:space="preserve"> </w:t>
            </w:r>
            <w:proofErr w:type="spellStart"/>
            <w:r w:rsidRPr="00EF14A3">
              <w:rPr>
                <w:iCs/>
              </w:rPr>
              <w:t>Package</w:t>
            </w:r>
            <w:proofErr w:type="spellEnd"/>
            <w:r w:rsidRPr="00EF14A3">
              <w:rPr>
                <w:iCs/>
              </w:rPr>
              <w:t xml:space="preserve"> </w:t>
            </w:r>
            <w:proofErr w:type="spellStart"/>
            <w:r w:rsidRPr="00EF14A3">
              <w:rPr>
                <w:iCs/>
              </w:rPr>
              <w:t>for</w:t>
            </w:r>
            <w:proofErr w:type="spellEnd"/>
            <w:r w:rsidRPr="00EF14A3">
              <w:rPr>
                <w:iCs/>
              </w:rPr>
              <w:t xml:space="preserve"> </w:t>
            </w:r>
            <w:proofErr w:type="spellStart"/>
            <w:r w:rsidRPr="00EF14A3">
              <w:rPr>
                <w:iCs/>
              </w:rPr>
              <w:t>the</w:t>
            </w:r>
            <w:proofErr w:type="spellEnd"/>
            <w:r w:rsidRPr="00EF14A3">
              <w:rPr>
                <w:iCs/>
              </w:rPr>
              <w:t xml:space="preserve"> </w:t>
            </w:r>
            <w:proofErr w:type="spellStart"/>
            <w:r w:rsidRPr="00EF14A3">
              <w:rPr>
                <w:iCs/>
              </w:rPr>
              <w:t>Social</w:t>
            </w:r>
            <w:proofErr w:type="spellEnd"/>
            <w:r w:rsidRPr="00EF14A3">
              <w:rPr>
                <w:iCs/>
              </w:rPr>
              <w:t xml:space="preserve"> </w:t>
            </w:r>
            <w:proofErr w:type="spellStart"/>
            <w:r w:rsidRPr="00EF14A3">
              <w:rPr>
                <w:iCs/>
              </w:rPr>
              <w:t>Sciences</w:t>
            </w:r>
            <w:proofErr w:type="spellEnd"/>
            <w:r w:rsidRPr="00EF14A3">
              <w:rPr>
                <w:iCs/>
              </w:rPr>
              <w:t xml:space="preserve"> 25 (SPSS 25) </w:t>
            </w:r>
            <w:proofErr w:type="spellStart"/>
            <w:r w:rsidRPr="00EF14A3">
              <w:rPr>
                <w:iCs/>
              </w:rPr>
              <w:t>with</w:t>
            </w:r>
            <w:proofErr w:type="spellEnd"/>
            <w:r w:rsidRPr="00EF14A3">
              <w:rPr>
                <w:iCs/>
              </w:rPr>
              <w:t xml:space="preserve"> a </w:t>
            </w:r>
            <w:proofErr w:type="spellStart"/>
            <w:r w:rsidRPr="00EF14A3">
              <w:rPr>
                <w:iCs/>
              </w:rPr>
              <w:t>significance</w:t>
            </w:r>
            <w:proofErr w:type="spellEnd"/>
            <w:r w:rsidRPr="00EF14A3">
              <w:rPr>
                <w:iCs/>
              </w:rPr>
              <w:t xml:space="preserve"> level </w:t>
            </w:r>
            <w:proofErr w:type="spellStart"/>
            <w:r w:rsidRPr="00EF14A3">
              <w:rPr>
                <w:iCs/>
              </w:rPr>
              <w:t>of</w:t>
            </w:r>
            <w:proofErr w:type="spellEnd"/>
            <w:r w:rsidRPr="00EF14A3">
              <w:rPr>
                <w:iCs/>
              </w:rPr>
              <w:t xml:space="preserve"> 0,05. </w:t>
            </w:r>
            <w:proofErr w:type="spellStart"/>
            <w:r w:rsidRPr="00EF14A3">
              <w:rPr>
                <w:iCs/>
              </w:rPr>
              <w:t>Based</w:t>
            </w:r>
            <w:proofErr w:type="spellEnd"/>
            <w:r w:rsidRPr="00EF14A3">
              <w:rPr>
                <w:iCs/>
              </w:rPr>
              <w:t xml:space="preserve"> </w:t>
            </w:r>
            <w:proofErr w:type="spellStart"/>
            <w:r w:rsidRPr="00EF14A3">
              <w:rPr>
                <w:iCs/>
              </w:rPr>
              <w:t>on</w:t>
            </w:r>
            <w:proofErr w:type="spellEnd"/>
            <w:r w:rsidRPr="00EF14A3">
              <w:rPr>
                <w:iCs/>
              </w:rPr>
              <w:t xml:space="preserve"> </w:t>
            </w:r>
            <w:proofErr w:type="spellStart"/>
            <w:r w:rsidRPr="00EF14A3">
              <w:rPr>
                <w:iCs/>
              </w:rPr>
              <w:t>the</w:t>
            </w:r>
            <w:proofErr w:type="spellEnd"/>
            <w:r w:rsidRPr="00EF14A3">
              <w:rPr>
                <w:iCs/>
              </w:rPr>
              <w:t xml:space="preserve"> </w:t>
            </w:r>
            <w:proofErr w:type="spellStart"/>
            <w:r w:rsidRPr="00EF14A3">
              <w:rPr>
                <w:iCs/>
              </w:rPr>
              <w:t>partially</w:t>
            </w:r>
            <w:proofErr w:type="spellEnd"/>
            <w:r w:rsidRPr="00EF14A3">
              <w:rPr>
                <w:iCs/>
              </w:rPr>
              <w:t xml:space="preserve"> </w:t>
            </w:r>
            <w:proofErr w:type="spellStart"/>
            <w:r w:rsidRPr="00EF14A3">
              <w:rPr>
                <w:iCs/>
              </w:rPr>
              <w:t>test</w:t>
            </w:r>
            <w:proofErr w:type="spellEnd"/>
            <w:r w:rsidRPr="00EF14A3">
              <w:rPr>
                <w:iCs/>
              </w:rPr>
              <w:t xml:space="preserve"> </w:t>
            </w:r>
            <w:proofErr w:type="spellStart"/>
            <w:r w:rsidRPr="00EF14A3">
              <w:rPr>
                <w:iCs/>
              </w:rPr>
              <w:t>indicate</w:t>
            </w:r>
            <w:proofErr w:type="spellEnd"/>
            <w:r w:rsidRPr="00EF14A3">
              <w:rPr>
                <w:iCs/>
              </w:rPr>
              <w:t xml:space="preserve"> </w:t>
            </w:r>
            <w:proofErr w:type="spellStart"/>
            <w:r w:rsidRPr="00EF14A3">
              <w:rPr>
                <w:iCs/>
              </w:rPr>
              <w:t>that</w:t>
            </w:r>
            <w:proofErr w:type="spellEnd"/>
            <w:r w:rsidRPr="00EF14A3">
              <w:rPr>
                <w:iCs/>
              </w:rPr>
              <w:t xml:space="preserve"> </w:t>
            </w:r>
            <w:proofErr w:type="spellStart"/>
            <w:r w:rsidRPr="00EF14A3">
              <w:rPr>
                <w:iCs/>
              </w:rPr>
              <w:t>liquidity</w:t>
            </w:r>
            <w:proofErr w:type="spellEnd"/>
            <w:r w:rsidRPr="00EF14A3">
              <w:rPr>
                <w:iCs/>
              </w:rPr>
              <w:t xml:space="preserve"> </w:t>
            </w:r>
            <w:proofErr w:type="spellStart"/>
            <w:r w:rsidRPr="00EF14A3">
              <w:rPr>
                <w:iCs/>
              </w:rPr>
              <w:t>does</w:t>
            </w:r>
            <w:proofErr w:type="spellEnd"/>
            <w:r w:rsidRPr="00EF14A3">
              <w:rPr>
                <w:iCs/>
              </w:rPr>
              <w:t xml:space="preserve"> not </w:t>
            </w:r>
            <w:proofErr w:type="spellStart"/>
            <w:r w:rsidRPr="00EF14A3">
              <w:rPr>
                <w:iCs/>
              </w:rPr>
              <w:t>have</w:t>
            </w:r>
            <w:proofErr w:type="spellEnd"/>
            <w:r w:rsidRPr="00EF14A3">
              <w:rPr>
                <w:iCs/>
              </w:rPr>
              <w:t xml:space="preserve"> </w:t>
            </w:r>
            <w:proofErr w:type="spellStart"/>
            <w:r w:rsidRPr="00EF14A3">
              <w:rPr>
                <w:iCs/>
              </w:rPr>
              <w:t>an</w:t>
            </w:r>
            <w:proofErr w:type="spellEnd"/>
            <w:r w:rsidRPr="00EF14A3">
              <w:rPr>
                <w:iCs/>
              </w:rPr>
              <w:t xml:space="preserve"> </w:t>
            </w:r>
            <w:proofErr w:type="spellStart"/>
            <w:r w:rsidRPr="00EF14A3">
              <w:rPr>
                <w:iCs/>
              </w:rPr>
              <w:t>effect</w:t>
            </w:r>
            <w:proofErr w:type="spellEnd"/>
            <w:r w:rsidRPr="00EF14A3">
              <w:rPr>
                <w:iCs/>
              </w:rPr>
              <w:t xml:space="preserve"> </w:t>
            </w:r>
            <w:proofErr w:type="spellStart"/>
            <w:r w:rsidRPr="00EF14A3">
              <w:rPr>
                <w:iCs/>
              </w:rPr>
              <w:t>on</w:t>
            </w:r>
            <w:proofErr w:type="spellEnd"/>
            <w:r w:rsidRPr="00EF14A3">
              <w:rPr>
                <w:iCs/>
              </w:rPr>
              <w:t xml:space="preserve"> </w:t>
            </w:r>
            <w:proofErr w:type="spellStart"/>
            <w:r w:rsidRPr="00EF14A3">
              <w:rPr>
                <w:iCs/>
              </w:rPr>
              <w:t>going</w:t>
            </w:r>
            <w:proofErr w:type="spellEnd"/>
            <w:r w:rsidRPr="00EF14A3">
              <w:rPr>
                <w:iCs/>
              </w:rPr>
              <w:t xml:space="preserve"> </w:t>
            </w:r>
            <w:proofErr w:type="spellStart"/>
            <w:r w:rsidRPr="00EF14A3">
              <w:rPr>
                <w:iCs/>
              </w:rPr>
              <w:t>concern</w:t>
            </w:r>
            <w:proofErr w:type="spellEnd"/>
            <w:r w:rsidRPr="00EF14A3">
              <w:rPr>
                <w:iCs/>
              </w:rPr>
              <w:t xml:space="preserve"> audit </w:t>
            </w:r>
            <w:proofErr w:type="spellStart"/>
            <w:r w:rsidRPr="00EF14A3">
              <w:rPr>
                <w:iCs/>
              </w:rPr>
              <w:t>opinion</w:t>
            </w:r>
            <w:proofErr w:type="spellEnd"/>
            <w:r w:rsidRPr="00EF14A3">
              <w:rPr>
                <w:iCs/>
              </w:rPr>
              <w:t xml:space="preserve"> </w:t>
            </w:r>
            <w:proofErr w:type="spellStart"/>
            <w:r w:rsidRPr="00EF14A3">
              <w:rPr>
                <w:iCs/>
              </w:rPr>
              <w:t>with</w:t>
            </w:r>
            <w:proofErr w:type="spellEnd"/>
            <w:r w:rsidRPr="00EF14A3">
              <w:rPr>
                <w:iCs/>
              </w:rPr>
              <w:t xml:space="preserve"> a </w:t>
            </w:r>
            <w:proofErr w:type="spellStart"/>
            <w:r w:rsidRPr="00EF14A3">
              <w:rPr>
                <w:iCs/>
              </w:rPr>
              <w:t>significance</w:t>
            </w:r>
            <w:proofErr w:type="spellEnd"/>
            <w:r w:rsidRPr="00EF14A3">
              <w:rPr>
                <w:iCs/>
              </w:rPr>
              <w:t xml:space="preserve"> level </w:t>
            </w:r>
            <w:proofErr w:type="spellStart"/>
            <w:r w:rsidRPr="00EF14A3">
              <w:rPr>
                <w:iCs/>
              </w:rPr>
              <w:t>of</w:t>
            </w:r>
            <w:proofErr w:type="spellEnd"/>
            <w:r w:rsidRPr="00EF14A3">
              <w:rPr>
                <w:iCs/>
              </w:rPr>
              <w:t xml:space="preserve"> 0,212, </w:t>
            </w:r>
            <w:proofErr w:type="spellStart"/>
            <w:r w:rsidRPr="00EF14A3">
              <w:rPr>
                <w:iCs/>
              </w:rPr>
              <w:t>profitability</w:t>
            </w:r>
            <w:proofErr w:type="spellEnd"/>
            <w:r w:rsidRPr="00EF14A3">
              <w:rPr>
                <w:iCs/>
              </w:rPr>
              <w:t xml:space="preserve"> </w:t>
            </w:r>
            <w:proofErr w:type="spellStart"/>
            <w:r w:rsidRPr="00EF14A3">
              <w:rPr>
                <w:iCs/>
              </w:rPr>
              <w:t>does</w:t>
            </w:r>
            <w:proofErr w:type="spellEnd"/>
            <w:r w:rsidRPr="00EF14A3">
              <w:rPr>
                <w:iCs/>
              </w:rPr>
              <w:t xml:space="preserve"> not </w:t>
            </w:r>
            <w:proofErr w:type="spellStart"/>
            <w:r w:rsidRPr="00EF14A3">
              <w:rPr>
                <w:iCs/>
              </w:rPr>
              <w:t>have</w:t>
            </w:r>
            <w:proofErr w:type="spellEnd"/>
            <w:r w:rsidRPr="00EF14A3">
              <w:rPr>
                <w:iCs/>
              </w:rPr>
              <w:t xml:space="preserve"> </w:t>
            </w:r>
            <w:proofErr w:type="spellStart"/>
            <w:r w:rsidRPr="00EF14A3">
              <w:rPr>
                <w:iCs/>
              </w:rPr>
              <w:t>an</w:t>
            </w:r>
            <w:proofErr w:type="spellEnd"/>
            <w:r w:rsidRPr="00EF14A3">
              <w:rPr>
                <w:iCs/>
              </w:rPr>
              <w:t xml:space="preserve"> </w:t>
            </w:r>
            <w:proofErr w:type="spellStart"/>
            <w:r w:rsidRPr="00EF14A3">
              <w:rPr>
                <w:iCs/>
              </w:rPr>
              <w:t>effect</w:t>
            </w:r>
            <w:proofErr w:type="spellEnd"/>
            <w:r w:rsidRPr="00EF14A3">
              <w:rPr>
                <w:iCs/>
              </w:rPr>
              <w:t xml:space="preserve"> </w:t>
            </w:r>
            <w:proofErr w:type="spellStart"/>
            <w:r w:rsidRPr="00EF14A3">
              <w:rPr>
                <w:iCs/>
              </w:rPr>
              <w:t>on</w:t>
            </w:r>
            <w:proofErr w:type="spellEnd"/>
            <w:r w:rsidRPr="00EF14A3">
              <w:rPr>
                <w:iCs/>
              </w:rPr>
              <w:t xml:space="preserve"> </w:t>
            </w:r>
            <w:proofErr w:type="spellStart"/>
            <w:r w:rsidRPr="00EF14A3">
              <w:rPr>
                <w:iCs/>
              </w:rPr>
              <w:t>going</w:t>
            </w:r>
            <w:proofErr w:type="spellEnd"/>
            <w:r w:rsidRPr="00EF14A3">
              <w:rPr>
                <w:iCs/>
              </w:rPr>
              <w:t xml:space="preserve"> </w:t>
            </w:r>
            <w:proofErr w:type="spellStart"/>
            <w:r w:rsidRPr="00EF14A3">
              <w:rPr>
                <w:iCs/>
              </w:rPr>
              <w:t>concern</w:t>
            </w:r>
            <w:proofErr w:type="spellEnd"/>
            <w:r w:rsidRPr="00EF14A3">
              <w:rPr>
                <w:iCs/>
              </w:rPr>
              <w:t xml:space="preserve"> audit </w:t>
            </w:r>
            <w:proofErr w:type="spellStart"/>
            <w:r w:rsidRPr="00EF14A3">
              <w:rPr>
                <w:iCs/>
              </w:rPr>
              <w:t>opinion</w:t>
            </w:r>
            <w:proofErr w:type="spellEnd"/>
            <w:r w:rsidRPr="00EF14A3">
              <w:rPr>
                <w:iCs/>
              </w:rPr>
              <w:t xml:space="preserve"> </w:t>
            </w:r>
            <w:proofErr w:type="spellStart"/>
            <w:r w:rsidRPr="00EF14A3">
              <w:rPr>
                <w:iCs/>
              </w:rPr>
              <w:t>with</w:t>
            </w:r>
            <w:proofErr w:type="spellEnd"/>
            <w:r w:rsidRPr="00EF14A3">
              <w:rPr>
                <w:iCs/>
              </w:rPr>
              <w:t xml:space="preserve"> a </w:t>
            </w:r>
            <w:proofErr w:type="spellStart"/>
            <w:r w:rsidRPr="00EF14A3">
              <w:rPr>
                <w:iCs/>
              </w:rPr>
              <w:t>significance</w:t>
            </w:r>
            <w:proofErr w:type="spellEnd"/>
            <w:r w:rsidRPr="00EF14A3">
              <w:rPr>
                <w:iCs/>
              </w:rPr>
              <w:t xml:space="preserve"> level </w:t>
            </w:r>
            <w:proofErr w:type="spellStart"/>
            <w:r w:rsidRPr="00EF14A3">
              <w:rPr>
                <w:iCs/>
              </w:rPr>
              <w:t>of</w:t>
            </w:r>
            <w:proofErr w:type="spellEnd"/>
            <w:r w:rsidRPr="00EF14A3">
              <w:rPr>
                <w:iCs/>
              </w:rPr>
              <w:t xml:space="preserve"> 0,466 </w:t>
            </w:r>
            <w:proofErr w:type="spellStart"/>
            <w:r w:rsidRPr="00EF14A3">
              <w:rPr>
                <w:iCs/>
              </w:rPr>
              <w:t>and</w:t>
            </w:r>
            <w:proofErr w:type="spellEnd"/>
            <w:r w:rsidRPr="00EF14A3">
              <w:rPr>
                <w:iCs/>
              </w:rPr>
              <w:t xml:space="preserve"> </w:t>
            </w:r>
            <w:proofErr w:type="spellStart"/>
            <w:r w:rsidRPr="00EF14A3">
              <w:rPr>
                <w:iCs/>
              </w:rPr>
              <w:t>solvability</w:t>
            </w:r>
            <w:proofErr w:type="spellEnd"/>
            <w:r w:rsidRPr="00EF14A3">
              <w:rPr>
                <w:iCs/>
              </w:rPr>
              <w:t xml:space="preserve"> </w:t>
            </w:r>
            <w:proofErr w:type="spellStart"/>
            <w:r w:rsidRPr="00EF14A3">
              <w:rPr>
                <w:iCs/>
              </w:rPr>
              <w:t>does</w:t>
            </w:r>
            <w:proofErr w:type="spellEnd"/>
            <w:r w:rsidRPr="00EF14A3">
              <w:rPr>
                <w:iCs/>
              </w:rPr>
              <w:t xml:space="preserve"> not </w:t>
            </w:r>
            <w:proofErr w:type="spellStart"/>
            <w:r w:rsidRPr="00EF14A3">
              <w:rPr>
                <w:iCs/>
              </w:rPr>
              <w:t>have</w:t>
            </w:r>
            <w:proofErr w:type="spellEnd"/>
            <w:r w:rsidRPr="00EF14A3">
              <w:rPr>
                <w:iCs/>
              </w:rPr>
              <w:t xml:space="preserve"> </w:t>
            </w:r>
            <w:proofErr w:type="spellStart"/>
            <w:r w:rsidRPr="00EF14A3">
              <w:rPr>
                <w:iCs/>
              </w:rPr>
              <w:t>an</w:t>
            </w:r>
            <w:proofErr w:type="spellEnd"/>
            <w:r w:rsidRPr="00EF14A3">
              <w:rPr>
                <w:iCs/>
              </w:rPr>
              <w:t xml:space="preserve"> </w:t>
            </w:r>
            <w:proofErr w:type="spellStart"/>
            <w:r w:rsidRPr="00EF14A3">
              <w:rPr>
                <w:iCs/>
              </w:rPr>
              <w:t>effect</w:t>
            </w:r>
            <w:proofErr w:type="spellEnd"/>
            <w:r w:rsidRPr="00EF14A3">
              <w:rPr>
                <w:iCs/>
              </w:rPr>
              <w:t xml:space="preserve"> </w:t>
            </w:r>
            <w:proofErr w:type="spellStart"/>
            <w:r w:rsidRPr="00EF14A3">
              <w:rPr>
                <w:iCs/>
              </w:rPr>
              <w:t>on</w:t>
            </w:r>
            <w:proofErr w:type="spellEnd"/>
            <w:r w:rsidRPr="00EF14A3">
              <w:rPr>
                <w:iCs/>
              </w:rPr>
              <w:t xml:space="preserve"> </w:t>
            </w:r>
            <w:proofErr w:type="spellStart"/>
            <w:r w:rsidRPr="00EF14A3">
              <w:rPr>
                <w:iCs/>
              </w:rPr>
              <w:t>going</w:t>
            </w:r>
            <w:proofErr w:type="spellEnd"/>
            <w:r w:rsidRPr="00EF14A3">
              <w:rPr>
                <w:iCs/>
              </w:rPr>
              <w:t xml:space="preserve"> </w:t>
            </w:r>
            <w:proofErr w:type="spellStart"/>
            <w:r w:rsidRPr="00EF14A3">
              <w:rPr>
                <w:iCs/>
              </w:rPr>
              <w:t>concern</w:t>
            </w:r>
            <w:proofErr w:type="spellEnd"/>
            <w:r w:rsidRPr="00EF14A3">
              <w:rPr>
                <w:iCs/>
              </w:rPr>
              <w:t xml:space="preserve"> audit </w:t>
            </w:r>
            <w:proofErr w:type="spellStart"/>
            <w:r w:rsidRPr="00EF14A3">
              <w:rPr>
                <w:iCs/>
              </w:rPr>
              <w:t>opinion</w:t>
            </w:r>
            <w:proofErr w:type="spellEnd"/>
            <w:r w:rsidRPr="00EF14A3">
              <w:rPr>
                <w:iCs/>
              </w:rPr>
              <w:t xml:space="preserve"> </w:t>
            </w:r>
            <w:proofErr w:type="spellStart"/>
            <w:r w:rsidRPr="00EF14A3">
              <w:rPr>
                <w:iCs/>
              </w:rPr>
              <w:t>with</w:t>
            </w:r>
            <w:proofErr w:type="spellEnd"/>
            <w:r w:rsidRPr="00EF14A3">
              <w:rPr>
                <w:iCs/>
              </w:rPr>
              <w:t xml:space="preserve"> a </w:t>
            </w:r>
            <w:proofErr w:type="spellStart"/>
            <w:r w:rsidRPr="00EF14A3">
              <w:rPr>
                <w:iCs/>
              </w:rPr>
              <w:t>significance</w:t>
            </w:r>
            <w:proofErr w:type="spellEnd"/>
            <w:r w:rsidRPr="00EF14A3">
              <w:rPr>
                <w:iCs/>
              </w:rPr>
              <w:t xml:space="preserve"> level </w:t>
            </w:r>
            <w:proofErr w:type="spellStart"/>
            <w:r w:rsidRPr="00EF14A3">
              <w:rPr>
                <w:iCs/>
              </w:rPr>
              <w:t>of</w:t>
            </w:r>
            <w:proofErr w:type="spellEnd"/>
            <w:r w:rsidRPr="00EF14A3">
              <w:rPr>
                <w:iCs/>
              </w:rPr>
              <w:t xml:space="preserve"> 0,410. </w:t>
            </w:r>
            <w:proofErr w:type="spellStart"/>
            <w:r w:rsidRPr="00EF14A3">
              <w:rPr>
                <w:iCs/>
              </w:rPr>
              <w:t>While</w:t>
            </w:r>
            <w:proofErr w:type="spellEnd"/>
            <w:r w:rsidRPr="00EF14A3">
              <w:rPr>
                <w:iCs/>
              </w:rPr>
              <w:t xml:space="preserve"> </w:t>
            </w:r>
            <w:proofErr w:type="spellStart"/>
            <w:r w:rsidRPr="00EF14A3">
              <w:rPr>
                <w:iCs/>
              </w:rPr>
              <w:t>simultaneously</w:t>
            </w:r>
            <w:proofErr w:type="spellEnd"/>
            <w:r w:rsidRPr="00EF14A3">
              <w:rPr>
                <w:iCs/>
              </w:rPr>
              <w:t xml:space="preserve"> </w:t>
            </w:r>
            <w:proofErr w:type="spellStart"/>
            <w:r w:rsidRPr="00EF14A3">
              <w:rPr>
                <w:iCs/>
              </w:rPr>
              <w:t>have</w:t>
            </w:r>
            <w:proofErr w:type="spellEnd"/>
            <w:r w:rsidRPr="00EF14A3">
              <w:rPr>
                <w:iCs/>
              </w:rPr>
              <w:t xml:space="preserve"> </w:t>
            </w:r>
            <w:proofErr w:type="spellStart"/>
            <w:r w:rsidRPr="00EF14A3">
              <w:rPr>
                <w:iCs/>
              </w:rPr>
              <w:t>an</w:t>
            </w:r>
            <w:proofErr w:type="spellEnd"/>
            <w:r w:rsidRPr="00EF14A3">
              <w:rPr>
                <w:iCs/>
              </w:rPr>
              <w:t xml:space="preserve"> </w:t>
            </w:r>
            <w:proofErr w:type="spellStart"/>
            <w:r w:rsidRPr="00EF14A3">
              <w:rPr>
                <w:iCs/>
              </w:rPr>
              <w:t>effect</w:t>
            </w:r>
            <w:proofErr w:type="spellEnd"/>
            <w:r w:rsidRPr="00EF14A3">
              <w:rPr>
                <w:iCs/>
              </w:rPr>
              <w:t xml:space="preserve"> </w:t>
            </w:r>
            <w:proofErr w:type="spellStart"/>
            <w:r w:rsidRPr="00EF14A3">
              <w:rPr>
                <w:iCs/>
              </w:rPr>
              <w:t>on</w:t>
            </w:r>
            <w:proofErr w:type="spellEnd"/>
            <w:r w:rsidRPr="00EF14A3">
              <w:rPr>
                <w:iCs/>
              </w:rPr>
              <w:t xml:space="preserve"> </w:t>
            </w:r>
            <w:proofErr w:type="spellStart"/>
            <w:r w:rsidRPr="00EF14A3">
              <w:rPr>
                <w:iCs/>
              </w:rPr>
              <w:t>going</w:t>
            </w:r>
            <w:proofErr w:type="spellEnd"/>
            <w:r w:rsidRPr="00EF14A3">
              <w:rPr>
                <w:iCs/>
              </w:rPr>
              <w:t xml:space="preserve"> </w:t>
            </w:r>
            <w:proofErr w:type="spellStart"/>
            <w:r w:rsidRPr="00EF14A3">
              <w:rPr>
                <w:iCs/>
              </w:rPr>
              <w:t>concern</w:t>
            </w:r>
            <w:proofErr w:type="spellEnd"/>
            <w:r w:rsidRPr="00EF14A3">
              <w:rPr>
                <w:iCs/>
              </w:rPr>
              <w:t xml:space="preserve"> audit </w:t>
            </w:r>
            <w:proofErr w:type="spellStart"/>
            <w:r w:rsidRPr="00EF14A3">
              <w:rPr>
                <w:iCs/>
              </w:rPr>
              <w:t>opinion</w:t>
            </w:r>
            <w:proofErr w:type="spellEnd"/>
            <w:r w:rsidRPr="00EF14A3">
              <w:rPr>
                <w:iCs/>
              </w:rPr>
              <w:t xml:space="preserve"> </w:t>
            </w:r>
            <w:proofErr w:type="spellStart"/>
            <w:r w:rsidRPr="00EF14A3">
              <w:rPr>
                <w:iCs/>
              </w:rPr>
              <w:t>with</w:t>
            </w:r>
            <w:proofErr w:type="spellEnd"/>
            <w:r w:rsidRPr="00EF14A3">
              <w:rPr>
                <w:iCs/>
              </w:rPr>
              <w:t xml:space="preserve"> a </w:t>
            </w:r>
            <w:proofErr w:type="spellStart"/>
            <w:r w:rsidRPr="00EF14A3">
              <w:rPr>
                <w:iCs/>
              </w:rPr>
              <w:t>significance</w:t>
            </w:r>
            <w:proofErr w:type="spellEnd"/>
            <w:r w:rsidRPr="00EF14A3">
              <w:rPr>
                <w:iCs/>
              </w:rPr>
              <w:t xml:space="preserve"> level </w:t>
            </w:r>
            <w:proofErr w:type="spellStart"/>
            <w:r w:rsidRPr="00EF14A3">
              <w:rPr>
                <w:iCs/>
              </w:rPr>
              <w:t>of</w:t>
            </w:r>
            <w:proofErr w:type="spellEnd"/>
            <w:r w:rsidRPr="00EF14A3">
              <w:rPr>
                <w:iCs/>
              </w:rPr>
              <w:t xml:space="preserve"> 0,000. The </w:t>
            </w:r>
            <w:proofErr w:type="spellStart"/>
            <w:r w:rsidRPr="00EF14A3">
              <w:rPr>
                <w:iCs/>
              </w:rPr>
              <w:t>management</w:t>
            </w:r>
            <w:proofErr w:type="spellEnd"/>
            <w:r w:rsidRPr="00EF14A3">
              <w:rPr>
                <w:iCs/>
              </w:rPr>
              <w:t xml:space="preserve"> </w:t>
            </w:r>
            <w:proofErr w:type="spellStart"/>
            <w:r w:rsidRPr="00EF14A3">
              <w:rPr>
                <w:iCs/>
              </w:rPr>
              <w:t>of</w:t>
            </w:r>
            <w:proofErr w:type="spellEnd"/>
            <w:r w:rsidRPr="00EF14A3">
              <w:rPr>
                <w:iCs/>
              </w:rPr>
              <w:t xml:space="preserve"> </w:t>
            </w:r>
            <w:proofErr w:type="spellStart"/>
            <w:r w:rsidRPr="00EF14A3">
              <w:rPr>
                <w:iCs/>
              </w:rPr>
              <w:t>the</w:t>
            </w:r>
            <w:proofErr w:type="spellEnd"/>
            <w:r w:rsidRPr="00EF14A3">
              <w:rPr>
                <w:iCs/>
              </w:rPr>
              <w:t xml:space="preserve"> retail </w:t>
            </w:r>
            <w:proofErr w:type="spellStart"/>
            <w:r w:rsidRPr="00EF14A3">
              <w:rPr>
                <w:iCs/>
              </w:rPr>
              <w:t>trade</w:t>
            </w:r>
            <w:proofErr w:type="spellEnd"/>
            <w:r w:rsidRPr="00EF14A3">
              <w:rPr>
                <w:iCs/>
              </w:rPr>
              <w:t xml:space="preserve"> </w:t>
            </w:r>
            <w:proofErr w:type="spellStart"/>
            <w:r w:rsidRPr="00EF14A3">
              <w:rPr>
                <w:iCs/>
              </w:rPr>
              <w:t>company</w:t>
            </w:r>
            <w:proofErr w:type="spellEnd"/>
            <w:r w:rsidRPr="00EF14A3">
              <w:rPr>
                <w:iCs/>
              </w:rPr>
              <w:t xml:space="preserve"> </w:t>
            </w:r>
            <w:proofErr w:type="spellStart"/>
            <w:r w:rsidRPr="00EF14A3">
              <w:rPr>
                <w:iCs/>
              </w:rPr>
              <w:t>must</w:t>
            </w:r>
            <w:proofErr w:type="spellEnd"/>
            <w:r w:rsidRPr="00EF14A3">
              <w:rPr>
                <w:iCs/>
              </w:rPr>
              <w:t xml:space="preserve"> </w:t>
            </w:r>
            <w:proofErr w:type="spellStart"/>
            <w:r w:rsidRPr="00EF14A3">
              <w:rPr>
                <w:iCs/>
              </w:rPr>
              <w:t>strive</w:t>
            </w:r>
            <w:proofErr w:type="spellEnd"/>
            <w:r w:rsidRPr="00EF14A3">
              <w:rPr>
                <w:iCs/>
              </w:rPr>
              <w:t xml:space="preserve"> </w:t>
            </w:r>
            <w:proofErr w:type="spellStart"/>
            <w:r w:rsidRPr="00EF14A3">
              <w:rPr>
                <w:iCs/>
              </w:rPr>
              <w:t>to</w:t>
            </w:r>
            <w:proofErr w:type="spellEnd"/>
            <w:r w:rsidRPr="00EF14A3">
              <w:rPr>
                <w:iCs/>
              </w:rPr>
              <w:t xml:space="preserve"> </w:t>
            </w:r>
            <w:proofErr w:type="spellStart"/>
            <w:r w:rsidRPr="00EF14A3">
              <w:rPr>
                <w:iCs/>
              </w:rPr>
              <w:t>continue</w:t>
            </w:r>
            <w:proofErr w:type="spellEnd"/>
            <w:r w:rsidRPr="00EF14A3">
              <w:rPr>
                <w:iCs/>
              </w:rPr>
              <w:t xml:space="preserve"> </w:t>
            </w:r>
            <w:proofErr w:type="spellStart"/>
            <w:r w:rsidRPr="00EF14A3">
              <w:rPr>
                <w:iCs/>
              </w:rPr>
              <w:t>to</w:t>
            </w:r>
            <w:proofErr w:type="spellEnd"/>
            <w:r w:rsidRPr="00EF14A3">
              <w:rPr>
                <w:iCs/>
              </w:rPr>
              <w:t xml:space="preserve"> </w:t>
            </w:r>
            <w:proofErr w:type="spellStart"/>
            <w:r w:rsidRPr="00EF14A3">
              <w:rPr>
                <w:iCs/>
              </w:rPr>
              <w:t>increasing</w:t>
            </w:r>
            <w:proofErr w:type="spellEnd"/>
            <w:r w:rsidRPr="00EF14A3">
              <w:rPr>
                <w:iCs/>
              </w:rPr>
              <w:t xml:space="preserve"> </w:t>
            </w:r>
            <w:proofErr w:type="spellStart"/>
            <w:r w:rsidRPr="00EF14A3">
              <w:rPr>
                <w:iCs/>
              </w:rPr>
              <w:t>profits</w:t>
            </w:r>
            <w:proofErr w:type="spellEnd"/>
            <w:r w:rsidRPr="00EF14A3">
              <w:rPr>
                <w:iCs/>
              </w:rPr>
              <w:t xml:space="preserve"> </w:t>
            </w:r>
            <w:proofErr w:type="spellStart"/>
            <w:r w:rsidRPr="00EF14A3">
              <w:rPr>
                <w:iCs/>
              </w:rPr>
              <w:t>each</w:t>
            </w:r>
            <w:proofErr w:type="spellEnd"/>
            <w:r w:rsidRPr="00EF14A3">
              <w:rPr>
                <w:iCs/>
              </w:rPr>
              <w:t xml:space="preserve"> </w:t>
            </w:r>
            <w:proofErr w:type="spellStart"/>
            <w:r w:rsidRPr="00EF14A3">
              <w:rPr>
                <w:iCs/>
              </w:rPr>
              <w:t>year</w:t>
            </w:r>
            <w:proofErr w:type="spellEnd"/>
            <w:r w:rsidRPr="00EF14A3">
              <w:rPr>
                <w:iCs/>
              </w:rPr>
              <w:t xml:space="preserve"> </w:t>
            </w:r>
            <w:proofErr w:type="spellStart"/>
            <w:r w:rsidRPr="00EF14A3">
              <w:rPr>
                <w:iCs/>
              </w:rPr>
              <w:t>and</w:t>
            </w:r>
            <w:proofErr w:type="spellEnd"/>
            <w:r w:rsidRPr="00EF14A3">
              <w:rPr>
                <w:iCs/>
              </w:rPr>
              <w:t xml:space="preserve"> </w:t>
            </w:r>
            <w:proofErr w:type="spellStart"/>
            <w:r w:rsidRPr="00EF14A3">
              <w:rPr>
                <w:iCs/>
              </w:rPr>
              <w:t>offset</w:t>
            </w:r>
            <w:proofErr w:type="spellEnd"/>
            <w:r w:rsidRPr="00EF14A3">
              <w:rPr>
                <w:iCs/>
              </w:rPr>
              <w:t xml:space="preserve"> </w:t>
            </w:r>
            <w:proofErr w:type="spellStart"/>
            <w:r w:rsidRPr="00EF14A3">
              <w:rPr>
                <w:iCs/>
              </w:rPr>
              <w:t>by</w:t>
            </w:r>
            <w:proofErr w:type="spellEnd"/>
            <w:r w:rsidRPr="00EF14A3">
              <w:rPr>
                <w:iCs/>
              </w:rPr>
              <w:t xml:space="preserve"> </w:t>
            </w:r>
            <w:proofErr w:type="spellStart"/>
            <w:r w:rsidRPr="00EF14A3">
              <w:rPr>
                <w:iCs/>
              </w:rPr>
              <w:t>decrease</w:t>
            </w:r>
            <w:proofErr w:type="spellEnd"/>
            <w:r w:rsidRPr="00EF14A3">
              <w:rPr>
                <w:iCs/>
              </w:rPr>
              <w:t xml:space="preserve"> </w:t>
            </w:r>
            <w:proofErr w:type="spellStart"/>
            <w:r w:rsidRPr="00EF14A3">
              <w:rPr>
                <w:iCs/>
              </w:rPr>
              <w:t>of</w:t>
            </w:r>
            <w:proofErr w:type="spellEnd"/>
            <w:r w:rsidRPr="00EF14A3">
              <w:rPr>
                <w:iCs/>
              </w:rPr>
              <w:t xml:space="preserve"> </w:t>
            </w:r>
            <w:proofErr w:type="spellStart"/>
            <w:r w:rsidRPr="00EF14A3">
              <w:rPr>
                <w:iCs/>
              </w:rPr>
              <w:t>company’s</w:t>
            </w:r>
            <w:proofErr w:type="spellEnd"/>
            <w:r w:rsidRPr="00EF14A3">
              <w:rPr>
                <w:iCs/>
              </w:rPr>
              <w:t xml:space="preserve"> </w:t>
            </w:r>
            <w:proofErr w:type="spellStart"/>
            <w:r w:rsidRPr="00EF14A3">
              <w:rPr>
                <w:iCs/>
              </w:rPr>
              <w:t>liabilities</w:t>
            </w:r>
            <w:proofErr w:type="spellEnd"/>
            <w:r w:rsidRPr="00EF14A3">
              <w:rPr>
                <w:iCs/>
              </w:rPr>
              <w:t xml:space="preserve">. </w:t>
            </w:r>
            <w:proofErr w:type="spellStart"/>
            <w:r w:rsidRPr="00EF14A3">
              <w:rPr>
                <w:iCs/>
              </w:rPr>
              <w:t>And</w:t>
            </w:r>
            <w:proofErr w:type="spellEnd"/>
            <w:r w:rsidRPr="00EF14A3">
              <w:rPr>
                <w:iCs/>
              </w:rPr>
              <w:t xml:space="preserve"> </w:t>
            </w:r>
            <w:proofErr w:type="spellStart"/>
            <w:r w:rsidRPr="00EF14A3">
              <w:rPr>
                <w:iCs/>
              </w:rPr>
              <w:t>improve</w:t>
            </w:r>
            <w:proofErr w:type="spellEnd"/>
            <w:r w:rsidRPr="00EF14A3">
              <w:rPr>
                <w:iCs/>
              </w:rPr>
              <w:t xml:space="preserve"> </w:t>
            </w:r>
            <w:proofErr w:type="spellStart"/>
            <w:r w:rsidRPr="00EF14A3">
              <w:rPr>
                <w:iCs/>
              </w:rPr>
              <w:t>good</w:t>
            </w:r>
            <w:proofErr w:type="spellEnd"/>
            <w:r w:rsidRPr="00EF14A3">
              <w:rPr>
                <w:iCs/>
              </w:rPr>
              <w:t xml:space="preserve"> </w:t>
            </w:r>
            <w:proofErr w:type="spellStart"/>
            <w:r w:rsidRPr="00EF14A3">
              <w:rPr>
                <w:iCs/>
              </w:rPr>
              <w:t>performance</w:t>
            </w:r>
            <w:proofErr w:type="spellEnd"/>
            <w:r w:rsidRPr="00EF14A3">
              <w:rPr>
                <w:iCs/>
              </w:rPr>
              <w:t xml:space="preserve"> </w:t>
            </w:r>
            <w:proofErr w:type="spellStart"/>
            <w:r w:rsidRPr="00EF14A3">
              <w:rPr>
                <w:iCs/>
              </w:rPr>
              <w:t>by</w:t>
            </w:r>
            <w:proofErr w:type="spellEnd"/>
            <w:r w:rsidRPr="00EF14A3">
              <w:rPr>
                <w:iCs/>
              </w:rPr>
              <w:t xml:space="preserve"> </w:t>
            </w:r>
            <w:proofErr w:type="spellStart"/>
            <w:r w:rsidRPr="00EF14A3">
              <w:rPr>
                <w:iCs/>
              </w:rPr>
              <w:t>increasing</w:t>
            </w:r>
            <w:proofErr w:type="spellEnd"/>
            <w:r w:rsidRPr="00EF14A3">
              <w:rPr>
                <w:iCs/>
              </w:rPr>
              <w:t xml:space="preserve"> </w:t>
            </w:r>
            <w:proofErr w:type="spellStart"/>
            <w:r w:rsidRPr="00EF14A3">
              <w:rPr>
                <w:iCs/>
              </w:rPr>
              <w:t>the</w:t>
            </w:r>
            <w:proofErr w:type="spellEnd"/>
            <w:r w:rsidRPr="00EF14A3">
              <w:rPr>
                <w:iCs/>
              </w:rPr>
              <w:t xml:space="preserve"> </w:t>
            </w:r>
            <w:proofErr w:type="spellStart"/>
            <w:r w:rsidRPr="00EF14A3">
              <w:rPr>
                <w:iCs/>
              </w:rPr>
              <w:t>effectiveness</w:t>
            </w:r>
            <w:proofErr w:type="spellEnd"/>
            <w:r w:rsidRPr="00EF14A3">
              <w:rPr>
                <w:iCs/>
              </w:rPr>
              <w:t xml:space="preserve"> </w:t>
            </w:r>
            <w:proofErr w:type="spellStart"/>
            <w:r w:rsidRPr="00EF14A3">
              <w:rPr>
                <w:iCs/>
              </w:rPr>
              <w:t>of</w:t>
            </w:r>
            <w:proofErr w:type="spellEnd"/>
            <w:r w:rsidRPr="00EF14A3">
              <w:rPr>
                <w:iCs/>
              </w:rPr>
              <w:t xml:space="preserve"> </w:t>
            </w:r>
            <w:proofErr w:type="spellStart"/>
            <w:r w:rsidRPr="00EF14A3">
              <w:rPr>
                <w:iCs/>
              </w:rPr>
              <w:t>management</w:t>
            </w:r>
            <w:proofErr w:type="spellEnd"/>
            <w:r w:rsidRPr="00EF14A3">
              <w:rPr>
                <w:iCs/>
              </w:rPr>
              <w:t xml:space="preserve"> in </w:t>
            </w:r>
            <w:proofErr w:type="spellStart"/>
            <w:r w:rsidRPr="00EF14A3">
              <w:rPr>
                <w:iCs/>
              </w:rPr>
              <w:t>managing</w:t>
            </w:r>
            <w:proofErr w:type="spellEnd"/>
            <w:r w:rsidRPr="00EF14A3">
              <w:rPr>
                <w:iCs/>
              </w:rPr>
              <w:t xml:space="preserve"> </w:t>
            </w:r>
            <w:proofErr w:type="spellStart"/>
            <w:r w:rsidRPr="00EF14A3">
              <w:rPr>
                <w:iCs/>
              </w:rPr>
              <w:t>their</w:t>
            </w:r>
            <w:proofErr w:type="spellEnd"/>
            <w:r w:rsidRPr="00EF14A3">
              <w:rPr>
                <w:iCs/>
              </w:rPr>
              <w:t xml:space="preserve"> </w:t>
            </w:r>
            <w:proofErr w:type="spellStart"/>
            <w:r w:rsidRPr="00EF14A3">
              <w:rPr>
                <w:iCs/>
              </w:rPr>
              <w:t>resources</w:t>
            </w:r>
            <w:proofErr w:type="spellEnd"/>
            <w:r w:rsidRPr="00EF14A3">
              <w:rPr>
                <w:iCs/>
              </w:rPr>
              <w:t>.</w:t>
            </w:r>
          </w:p>
          <w:p w14:paraId="232BAB23" w14:textId="77777777" w:rsidR="003E6416" w:rsidRPr="00EF14A3" w:rsidRDefault="003E6416" w:rsidP="00F047C4">
            <w:pPr>
              <w:pStyle w:val="BodyText"/>
              <w:ind w:firstLine="720"/>
              <w:jc w:val="both"/>
              <w:rPr>
                <w:iCs/>
              </w:rPr>
            </w:pPr>
          </w:p>
          <w:p w14:paraId="181C124B" w14:textId="5D51278E" w:rsidR="00F047C4" w:rsidRDefault="00F047C4" w:rsidP="00F047C4">
            <w:pPr>
              <w:pStyle w:val="BodyText"/>
              <w:jc w:val="both"/>
            </w:pPr>
            <w:proofErr w:type="spellStart"/>
            <w:r>
              <w:t>Keywords</w:t>
            </w:r>
            <w:proofErr w:type="spellEnd"/>
            <w:r>
              <w:t xml:space="preserve"> : </w:t>
            </w:r>
            <w:proofErr w:type="spellStart"/>
            <w:r w:rsidR="00EF14A3">
              <w:t>Going</w:t>
            </w:r>
            <w:proofErr w:type="spellEnd"/>
            <w:r w:rsidR="00EF14A3">
              <w:t xml:space="preserve"> </w:t>
            </w:r>
            <w:proofErr w:type="spellStart"/>
            <w:r w:rsidR="00EF14A3">
              <w:t>Concern</w:t>
            </w:r>
            <w:proofErr w:type="spellEnd"/>
            <w:r>
              <w:t xml:space="preserve">, </w:t>
            </w:r>
            <w:proofErr w:type="spellStart"/>
            <w:r w:rsidR="00EF14A3">
              <w:t>Liquidity</w:t>
            </w:r>
            <w:proofErr w:type="spellEnd"/>
            <w:r>
              <w:t xml:space="preserve">, </w:t>
            </w:r>
            <w:proofErr w:type="spellStart"/>
            <w:r w:rsidR="00EF14A3">
              <w:t>Profitability</w:t>
            </w:r>
            <w:proofErr w:type="spellEnd"/>
            <w:r w:rsidR="00EF14A3">
              <w:t xml:space="preserve"> </w:t>
            </w:r>
            <w:proofErr w:type="spellStart"/>
            <w:r w:rsidR="00EF14A3">
              <w:t>and</w:t>
            </w:r>
            <w:proofErr w:type="spellEnd"/>
            <w:r w:rsidR="00EF14A3">
              <w:t xml:space="preserve"> </w:t>
            </w:r>
            <w:proofErr w:type="spellStart"/>
            <w:r w:rsidR="00EF14A3">
              <w:t>Solvability</w:t>
            </w:r>
            <w:proofErr w:type="spellEnd"/>
          </w:p>
          <w:p w14:paraId="0D675FDF" w14:textId="77777777" w:rsidR="003E6416" w:rsidRPr="00F047C4" w:rsidRDefault="003E6416" w:rsidP="00F047C4">
            <w:pPr>
              <w:pStyle w:val="BodyText"/>
              <w:jc w:val="both"/>
            </w:pPr>
          </w:p>
          <w:p w14:paraId="07F690C1" w14:textId="77777777" w:rsidR="00F047C4" w:rsidRPr="00F047C4" w:rsidRDefault="00F047C4" w:rsidP="00F047C4"/>
        </w:tc>
      </w:tr>
      <w:tr w:rsidR="00F047C4" w14:paraId="739AF355" w14:textId="77777777" w:rsidTr="001B5598">
        <w:trPr>
          <w:trHeight w:val="65"/>
        </w:trPr>
        <w:tc>
          <w:tcPr>
            <w:tcW w:w="7122" w:type="dxa"/>
            <w:gridSpan w:val="3"/>
            <w:tcBorders>
              <w:top w:val="single" w:sz="4" w:space="0" w:color="auto"/>
              <w:left w:val="nil"/>
              <w:bottom w:val="single" w:sz="4" w:space="0" w:color="auto"/>
              <w:right w:val="nil"/>
            </w:tcBorders>
            <w:hideMark/>
          </w:tcPr>
          <w:p w14:paraId="41236337" w14:textId="57D6D352" w:rsidR="00F225DA" w:rsidRDefault="00F047C4" w:rsidP="00F225DA">
            <w:pPr>
              <w:pStyle w:val="BasicParagraph"/>
              <w:spacing w:line="240" w:lineRule="auto"/>
              <w:jc w:val="both"/>
              <w:rPr>
                <w:rFonts w:ascii="Arno Pro" w:hAnsi="Arno Pro" w:cs="Arno Pro"/>
                <w:sz w:val="16"/>
                <w:szCs w:val="16"/>
              </w:rPr>
            </w:pPr>
            <w:r>
              <w:rPr>
                <w:rFonts w:ascii="Wingdings" w:hAnsi="Wingdings" w:cs="Wingdings"/>
                <w:sz w:val="16"/>
                <w:szCs w:val="16"/>
                <w:vertAlign w:val="superscript"/>
              </w:rPr>
              <w:t></w:t>
            </w:r>
          </w:p>
          <w:p w14:paraId="05A20289" w14:textId="77777777" w:rsidR="00F225DA" w:rsidRDefault="00F225DA" w:rsidP="00F225DA">
            <w:pPr>
              <w:pStyle w:val="BasicParagraph"/>
              <w:spacing w:line="240" w:lineRule="auto"/>
              <w:jc w:val="both"/>
              <w:rPr>
                <w:rFonts w:ascii="Arno Pro" w:hAnsi="Arno Pro" w:cs="Arno Pro"/>
                <w:sz w:val="16"/>
                <w:szCs w:val="16"/>
                <w:lang w:val="en-ID"/>
              </w:rPr>
            </w:pPr>
            <w:r>
              <w:rPr>
                <w:rFonts w:ascii="Arno Pro" w:hAnsi="Arno Pro" w:cs="Arno Pro"/>
                <w:sz w:val="16"/>
                <w:szCs w:val="16"/>
              </w:rPr>
              <w:t xml:space="preserve">   </w:t>
            </w:r>
            <w:r>
              <w:rPr>
                <w:rFonts w:ascii="Arno Pro" w:hAnsi="Arno Pro" w:cs="Arno Pro"/>
                <w:sz w:val="16"/>
                <w:szCs w:val="16"/>
                <w:lang w:val="en-ID"/>
              </w:rPr>
              <w:t>Institutional address:</w:t>
            </w:r>
          </w:p>
          <w:p w14:paraId="74464537" w14:textId="3347F52C" w:rsidR="00F047C4" w:rsidRDefault="00F225DA" w:rsidP="00F225DA">
            <w:pPr>
              <w:pStyle w:val="BasicParagraph"/>
              <w:spacing w:line="240" w:lineRule="auto"/>
              <w:jc w:val="both"/>
              <w:rPr>
                <w:rFonts w:ascii="Arno Pro" w:hAnsi="Arno Pro" w:cs="Arno Pro"/>
                <w:sz w:val="16"/>
                <w:szCs w:val="16"/>
              </w:rPr>
            </w:pPr>
            <w:r>
              <w:rPr>
                <w:rFonts w:ascii="Arno Pro" w:hAnsi="Arno Pro" w:cs="Arno Pro"/>
                <w:sz w:val="16"/>
                <w:szCs w:val="16"/>
              </w:rPr>
              <w:t xml:space="preserve">   E-mail: IJATB@unsika.ac.id</w:t>
            </w:r>
          </w:p>
        </w:tc>
        <w:tc>
          <w:tcPr>
            <w:tcW w:w="1783" w:type="dxa"/>
            <w:tcBorders>
              <w:top w:val="single" w:sz="4" w:space="0" w:color="auto"/>
              <w:left w:val="nil"/>
              <w:bottom w:val="single" w:sz="4" w:space="0" w:color="auto"/>
              <w:right w:val="nil"/>
            </w:tcBorders>
            <w:hideMark/>
          </w:tcPr>
          <w:p w14:paraId="0CC02427" w14:textId="77777777" w:rsidR="00F225DA" w:rsidRPr="007368D5" w:rsidRDefault="00F225DA" w:rsidP="00F225DA">
            <w:pPr>
              <w:widowControl/>
              <w:autoSpaceDE/>
              <w:autoSpaceDN/>
              <w:rPr>
                <w:sz w:val="18"/>
                <w:szCs w:val="18"/>
              </w:rPr>
            </w:pPr>
            <w:r w:rsidRPr="007368D5">
              <w:rPr>
                <w:sz w:val="18"/>
                <w:szCs w:val="18"/>
              </w:rPr>
              <w:t xml:space="preserve">ISSN </w:t>
            </w:r>
          </w:p>
          <w:p w14:paraId="4287ECF9" w14:textId="448B09B6" w:rsidR="00F047C4" w:rsidRDefault="00F225DA" w:rsidP="00F225DA">
            <w:pPr>
              <w:pStyle w:val="BasicParagraph"/>
              <w:spacing w:line="240" w:lineRule="auto"/>
              <w:jc w:val="both"/>
              <w:rPr>
                <w:rFonts w:ascii="Arno Pro" w:hAnsi="Arno Pro" w:cs="Arno Pro"/>
                <w:sz w:val="16"/>
                <w:szCs w:val="16"/>
              </w:rPr>
            </w:pPr>
            <w:r w:rsidRPr="007368D5">
              <w:rPr>
                <w:sz w:val="18"/>
                <w:szCs w:val="18"/>
              </w:rPr>
              <w:t>2745-9349(print) 2747-0075 (online)</w:t>
            </w:r>
          </w:p>
        </w:tc>
      </w:tr>
      <w:bookmarkEnd w:id="0"/>
    </w:tbl>
    <w:p w14:paraId="1A75ECC8" w14:textId="77777777" w:rsidR="00C40A65" w:rsidRPr="00AA4F06" w:rsidRDefault="00C40A65" w:rsidP="00C40A65">
      <w:pPr>
        <w:pStyle w:val="BodyText"/>
        <w:jc w:val="both"/>
        <w:sectPr w:rsidR="00C40A65" w:rsidRPr="00AA4F06" w:rsidSect="001B5598">
          <w:footerReference w:type="default" r:id="rId7"/>
          <w:pgSz w:w="11910" w:h="16840"/>
          <w:pgMar w:top="1440" w:right="1440" w:bottom="1440" w:left="1440" w:header="720" w:footer="720" w:gutter="0"/>
          <w:pgNumType w:start="14"/>
          <w:cols w:space="720"/>
          <w:docGrid w:linePitch="299"/>
        </w:sectPr>
      </w:pPr>
    </w:p>
    <w:p w14:paraId="39097386" w14:textId="77777777" w:rsidR="001B5598" w:rsidRPr="001B5598" w:rsidRDefault="00DA379E" w:rsidP="00197F64">
      <w:pPr>
        <w:pStyle w:val="Heading1"/>
        <w:numPr>
          <w:ilvl w:val="0"/>
          <w:numId w:val="5"/>
        </w:numPr>
        <w:ind w:left="709" w:right="853" w:hanging="709"/>
        <w:jc w:val="left"/>
      </w:pPr>
      <w:r>
        <w:t>BACKGROUND</w:t>
      </w:r>
    </w:p>
    <w:p w14:paraId="4682AD94" w14:textId="6532BCF5" w:rsidR="00963AA3" w:rsidRPr="00963AA3" w:rsidRDefault="00963AA3" w:rsidP="00963AA3">
      <w:pPr>
        <w:pStyle w:val="BodyText"/>
        <w:ind w:firstLine="720"/>
        <w:jc w:val="both"/>
        <w:rPr>
          <w:color w:val="202124"/>
          <w:lang w:val="en"/>
        </w:rPr>
      </w:pPr>
      <w:r w:rsidRPr="00963AA3">
        <w:rPr>
          <w:rStyle w:val="y2iqfc"/>
          <w:color w:val="202124"/>
          <w:lang w:val="en"/>
        </w:rPr>
        <w:t>The auditor is responsible for evaluating whether there is substantial doubt about the entity's ability to continue as a going concern within a reasonable period of time, not more than one year from the date of the financial statements being audited (hereinafter referred to as the appropriate period).</w:t>
      </w:r>
      <w:r>
        <w:rPr>
          <w:rStyle w:val="y2iqfc"/>
          <w:color w:val="202124"/>
        </w:rPr>
        <w:t xml:space="preserve"> </w:t>
      </w:r>
      <w:r w:rsidRPr="00963AA3">
        <w:rPr>
          <w:rStyle w:val="y2iqfc"/>
          <w:color w:val="202124"/>
          <w:lang w:val="en"/>
        </w:rPr>
        <w:t xml:space="preserve">In SPAP SA 341, it is explained that regarding going concern opinions, the auditor can issue an unqualified opinion with an explanatory paragraph, a qualified opinion, </w:t>
      </w:r>
      <w:r w:rsidRPr="00963AA3">
        <w:rPr>
          <w:rStyle w:val="y2iqfc"/>
          <w:color w:val="202124"/>
          <w:lang w:val="en"/>
        </w:rPr>
        <w:lastRenderedPageBreak/>
        <w:t>an unqualified opinion, and not give an opinion as long as it is related to a going concern explanation.</w:t>
      </w:r>
      <w:r>
        <w:rPr>
          <w:rStyle w:val="y2iqfc"/>
          <w:color w:val="202124"/>
        </w:rPr>
        <w:t xml:space="preserve"> </w:t>
      </w:r>
      <w:r w:rsidRPr="00963AA3">
        <w:rPr>
          <w:rStyle w:val="y2iqfc"/>
          <w:color w:val="202124"/>
          <w:lang w:val="en"/>
        </w:rPr>
        <w:t>According to ISA 570, the auditor's responsibility is to obtain sufficient appropriate audit evidence about the appropriateness of management's use of the going concern assumption in the preparation and presentation of the financial statements and to conclude whether there is a material uncertainty about the entity's ability to continue as a going concern.</w:t>
      </w:r>
    </w:p>
    <w:p w14:paraId="7FA214D3" w14:textId="7B39453F" w:rsidR="00606AB0" w:rsidRPr="00606AB0" w:rsidRDefault="00963AA3" w:rsidP="00606AB0">
      <w:pPr>
        <w:pStyle w:val="BodyText"/>
        <w:ind w:firstLine="720"/>
        <w:jc w:val="both"/>
        <w:rPr>
          <w:color w:val="202124"/>
          <w:lang w:val="en"/>
        </w:rPr>
      </w:pPr>
      <w:r w:rsidRPr="00963AA3">
        <w:rPr>
          <w:rStyle w:val="y2iqfc"/>
          <w:color w:val="202124"/>
          <w:lang w:val="en"/>
        </w:rPr>
        <w:t>Financial analysis in the form of financial ratio analysis and statistical calculations plays an important role in detecting the condition of an entity. The results of these financial ratios are used to assess management performance in a period, from this performance it can be used as an evaluation of things that need to be done so that management performance can be improved or maintained in accordance with company targets.</w:t>
      </w:r>
      <w:r>
        <w:rPr>
          <w:rStyle w:val="y2iqfc"/>
          <w:color w:val="202124"/>
        </w:rPr>
        <w:t xml:space="preserve"> </w:t>
      </w:r>
      <w:r w:rsidRPr="00963AA3">
        <w:rPr>
          <w:rStyle w:val="y2iqfc"/>
          <w:color w:val="202124"/>
          <w:lang w:val="en"/>
        </w:rPr>
        <w:t>In this study there are three financial ratios used, namely the liquidity ratio using the current ratio, the profitability ratio using the return on assets and the solvency ratio using the debt ratio.</w:t>
      </w:r>
      <w:r w:rsidR="00606AB0">
        <w:rPr>
          <w:rStyle w:val="y2iqfc"/>
          <w:color w:val="202124"/>
        </w:rPr>
        <w:t xml:space="preserve"> </w:t>
      </w:r>
      <w:r w:rsidR="00606AB0" w:rsidRPr="00606AB0">
        <w:rPr>
          <w:rStyle w:val="y2iqfc"/>
          <w:color w:val="202124"/>
          <w:lang w:val="en"/>
        </w:rPr>
        <w:t>A high profitability ratio is influenced by the effectiveness of management in managing maximum resources, the smaller the profitability ratio, the more likely it is to get a going concern audit opinion.</w:t>
      </w:r>
    </w:p>
    <w:p w14:paraId="5F81C69C" w14:textId="77777777" w:rsidR="00606AB0" w:rsidRPr="00963AA3" w:rsidRDefault="00606AB0" w:rsidP="00963AA3">
      <w:pPr>
        <w:pStyle w:val="BodyText"/>
        <w:ind w:firstLine="720"/>
        <w:jc w:val="both"/>
        <w:rPr>
          <w:color w:val="202124"/>
          <w:lang w:val="en"/>
        </w:rPr>
      </w:pPr>
    </w:p>
    <w:p w14:paraId="5D6D8252" w14:textId="77777777" w:rsidR="00963AA3" w:rsidRDefault="00963AA3" w:rsidP="00C40A65">
      <w:pPr>
        <w:pStyle w:val="BodyText"/>
        <w:ind w:firstLine="720"/>
        <w:jc w:val="both"/>
      </w:pPr>
    </w:p>
    <w:p w14:paraId="795E0E42" w14:textId="77777777" w:rsidR="00C40A65" w:rsidRPr="00AF441C" w:rsidRDefault="00C40A65" w:rsidP="00C40A65">
      <w:pPr>
        <w:pStyle w:val="BodyText"/>
        <w:ind w:left="180" w:firstLine="720"/>
        <w:jc w:val="both"/>
      </w:pPr>
    </w:p>
    <w:p w14:paraId="2855EB0C" w14:textId="77777777" w:rsidR="00C40A65" w:rsidRDefault="00C40A65" w:rsidP="00E45AAD">
      <w:pPr>
        <w:pStyle w:val="Heading1"/>
        <w:numPr>
          <w:ilvl w:val="0"/>
          <w:numId w:val="5"/>
        </w:numPr>
        <w:ind w:left="709" w:right="853"/>
        <w:jc w:val="left"/>
      </w:pPr>
      <w:r w:rsidRPr="0021158F">
        <w:rPr>
          <w:lang w:val="en-US"/>
        </w:rPr>
        <w:t>LITERATURE</w:t>
      </w:r>
      <w:r w:rsidRPr="0021158F">
        <w:t xml:space="preserve"> REVIEW</w:t>
      </w:r>
    </w:p>
    <w:p w14:paraId="0326E296" w14:textId="5578B6CA" w:rsidR="00C40A65" w:rsidRPr="00606AB0" w:rsidRDefault="00606AB0" w:rsidP="00E45AAD">
      <w:pPr>
        <w:pStyle w:val="Heading1"/>
        <w:ind w:left="0" w:right="853" w:firstLine="709"/>
        <w:jc w:val="left"/>
      </w:pPr>
      <w:proofErr w:type="spellStart"/>
      <w:r>
        <w:t>Going</w:t>
      </w:r>
      <w:proofErr w:type="spellEnd"/>
      <w:r>
        <w:t xml:space="preserve"> </w:t>
      </w:r>
      <w:proofErr w:type="spellStart"/>
      <w:r>
        <w:t>Concern</w:t>
      </w:r>
      <w:proofErr w:type="spellEnd"/>
      <w:r>
        <w:t xml:space="preserve"> Audit </w:t>
      </w:r>
      <w:proofErr w:type="spellStart"/>
      <w:r>
        <w:t>Opinion</w:t>
      </w:r>
      <w:proofErr w:type="spellEnd"/>
    </w:p>
    <w:p w14:paraId="05CF42F4" w14:textId="77777777" w:rsidR="001B5598" w:rsidRPr="001B5598" w:rsidRDefault="001B5598" w:rsidP="00C40A65">
      <w:pPr>
        <w:pStyle w:val="Heading1"/>
        <w:ind w:left="0" w:right="853"/>
        <w:jc w:val="left"/>
        <w:rPr>
          <w:b w:val="0"/>
          <w:bCs w:val="0"/>
        </w:rPr>
      </w:pPr>
    </w:p>
    <w:p w14:paraId="20132579" w14:textId="77777777" w:rsidR="00606AB0" w:rsidRPr="00606AB0" w:rsidRDefault="00606AB0" w:rsidP="00606AB0">
      <w:pPr>
        <w:pStyle w:val="BodyText"/>
        <w:ind w:firstLine="720"/>
        <w:jc w:val="both"/>
        <w:rPr>
          <w:color w:val="202124"/>
        </w:rPr>
      </w:pPr>
      <w:r w:rsidRPr="00606AB0">
        <w:rPr>
          <w:rStyle w:val="y2iqfc"/>
          <w:color w:val="202124"/>
          <w:lang w:val="en"/>
        </w:rPr>
        <w:t>Going concern audit opinion is an opinion issued by the auditor to evaluate whether there is significant doubt about the entity's ability to maintain its viability within a reasonable period of time, not more than one year from the date of the financial statements being audited (hereinafter referred to as the appropriate period)</w:t>
      </w:r>
      <w:proofErr w:type="gramStart"/>
      <w:r w:rsidRPr="00606AB0">
        <w:rPr>
          <w:rStyle w:val="y2iqfc"/>
          <w:color w:val="202124"/>
          <w:lang w:val="en"/>
        </w:rPr>
        <w:t>. .</w:t>
      </w:r>
      <w:proofErr w:type="gramEnd"/>
      <w:r w:rsidRPr="00606AB0">
        <w:rPr>
          <w:rStyle w:val="y2iqfc"/>
          <w:color w:val="202124"/>
          <w:lang w:val="en"/>
        </w:rPr>
        <w:t xml:space="preserve"> The auditor's evaluation is based on knowledge of conditions and events that existed at or that had occurred before the field work was completed. Information about conditions and events is obtained by the auditor from the audit procedures planned and performed to achieve the audit objectives related to management's assertions contained in the financial statements being audited, as described in SA Section 326 [PSA No. 7] Audit Evidence (SA Section 341).</w:t>
      </w:r>
    </w:p>
    <w:p w14:paraId="4849BF26" w14:textId="77777777" w:rsidR="00D276EE" w:rsidRPr="00D276EE" w:rsidRDefault="00D276EE" w:rsidP="00D276EE">
      <w:pPr>
        <w:pStyle w:val="Heading1"/>
        <w:ind w:left="0" w:right="853" w:firstLine="709"/>
        <w:jc w:val="left"/>
        <w:rPr>
          <w:color w:val="202124"/>
          <w:lang w:val="en" w:eastAsia="id-ID"/>
        </w:rPr>
      </w:pPr>
      <w:r w:rsidRPr="00D276EE">
        <w:rPr>
          <w:color w:val="202124"/>
          <w:lang w:val="en" w:eastAsia="id-ID"/>
        </w:rPr>
        <w:t>Liquidity</w:t>
      </w:r>
    </w:p>
    <w:p w14:paraId="5036E893" w14:textId="77777777" w:rsidR="00D276EE" w:rsidRPr="00D276EE" w:rsidRDefault="00D276EE" w:rsidP="00D276EE">
      <w:pPr>
        <w:pStyle w:val="BodyText"/>
        <w:ind w:firstLine="720"/>
        <w:jc w:val="both"/>
        <w:rPr>
          <w:color w:val="202124"/>
          <w:lang w:val="en" w:eastAsia="id-ID"/>
        </w:rPr>
      </w:pPr>
      <w:r w:rsidRPr="00D276EE">
        <w:rPr>
          <w:color w:val="202124"/>
          <w:lang w:val="en" w:eastAsia="id-ID"/>
        </w:rPr>
        <w:t xml:space="preserve">The liquidity ratio serves to show or measure the company's ability to meet its maturing obligations, both obligations to parties outside the company and within the company. </w:t>
      </w:r>
      <w:proofErr w:type="gramStart"/>
      <w:r w:rsidRPr="00D276EE">
        <w:rPr>
          <w:color w:val="202124"/>
          <w:lang w:val="en" w:eastAsia="id-ID"/>
        </w:rPr>
        <w:t>Thus</w:t>
      </w:r>
      <w:proofErr w:type="gramEnd"/>
      <w:r w:rsidRPr="00D276EE">
        <w:rPr>
          <w:color w:val="202124"/>
          <w:lang w:val="en" w:eastAsia="id-ID"/>
        </w:rPr>
        <w:t xml:space="preserve"> it can be said that the use of this ratio is to determine the company's ability to finance and fulfill obligations when billed (</w:t>
      </w:r>
      <w:proofErr w:type="spellStart"/>
      <w:r w:rsidRPr="00D276EE">
        <w:rPr>
          <w:color w:val="202124"/>
          <w:lang w:val="en" w:eastAsia="id-ID"/>
        </w:rPr>
        <w:t>Kasmir</w:t>
      </w:r>
      <w:proofErr w:type="spellEnd"/>
      <w:r w:rsidRPr="00D276EE">
        <w:rPr>
          <w:color w:val="202124"/>
          <w:lang w:val="en" w:eastAsia="id-ID"/>
        </w:rPr>
        <w:t>, 2016: 130).</w:t>
      </w:r>
    </w:p>
    <w:p w14:paraId="40F93C48" w14:textId="77777777" w:rsidR="00D276EE" w:rsidRPr="00D276EE" w:rsidRDefault="00D276EE" w:rsidP="00D276EE">
      <w:pPr>
        <w:pStyle w:val="Heading1"/>
        <w:ind w:left="0" w:right="853" w:firstLine="709"/>
        <w:jc w:val="left"/>
        <w:rPr>
          <w:color w:val="202124"/>
          <w:lang w:val="en" w:eastAsia="id-ID"/>
        </w:rPr>
      </w:pPr>
      <w:r w:rsidRPr="00D276EE">
        <w:rPr>
          <w:color w:val="202124"/>
          <w:lang w:val="en" w:eastAsia="id-ID"/>
        </w:rPr>
        <w:t>Profitability</w:t>
      </w:r>
    </w:p>
    <w:p w14:paraId="348A6C66" w14:textId="77777777" w:rsidR="00D276EE" w:rsidRPr="00D276EE" w:rsidRDefault="00D276EE" w:rsidP="00D276EE">
      <w:pPr>
        <w:pStyle w:val="BodyText"/>
        <w:ind w:firstLine="720"/>
        <w:jc w:val="both"/>
        <w:rPr>
          <w:color w:val="202124"/>
          <w:lang w:val="en" w:eastAsia="id-ID"/>
        </w:rPr>
      </w:pPr>
      <w:r w:rsidRPr="00D276EE">
        <w:rPr>
          <w:color w:val="202124"/>
          <w:lang w:val="en" w:eastAsia="id-ID"/>
        </w:rPr>
        <w:t xml:space="preserve">According to </w:t>
      </w:r>
      <w:proofErr w:type="spellStart"/>
      <w:r w:rsidRPr="00D276EE">
        <w:rPr>
          <w:color w:val="202124"/>
          <w:lang w:val="en" w:eastAsia="id-ID"/>
        </w:rPr>
        <w:t>Kasmir</w:t>
      </w:r>
      <w:proofErr w:type="spellEnd"/>
      <w:r w:rsidRPr="00D276EE">
        <w:rPr>
          <w:color w:val="202124"/>
          <w:lang w:val="en" w:eastAsia="id-ID"/>
        </w:rPr>
        <w:t xml:space="preserve"> (2016: 196) the profitability ratio is a ratio to assess the company's ability to seek profit. This ratio also provides the level of management effectiveness of a company. This is indicated by the profit generated from sales and revenue. The use of this ratio shows the efficiency of the company.</w:t>
      </w:r>
    </w:p>
    <w:p w14:paraId="2842E457" w14:textId="77777777" w:rsidR="00D276EE" w:rsidRPr="00D276EE" w:rsidRDefault="00D276EE" w:rsidP="00D276EE">
      <w:pPr>
        <w:pStyle w:val="Heading1"/>
        <w:ind w:left="0" w:right="853" w:firstLine="709"/>
        <w:jc w:val="left"/>
        <w:rPr>
          <w:color w:val="202124"/>
          <w:lang w:val="en" w:eastAsia="id-ID"/>
        </w:rPr>
      </w:pPr>
      <w:r w:rsidRPr="00D276EE">
        <w:rPr>
          <w:color w:val="202124"/>
          <w:lang w:val="en" w:eastAsia="id-ID"/>
        </w:rPr>
        <w:t>Solvency</w:t>
      </w:r>
    </w:p>
    <w:p w14:paraId="293E99D9" w14:textId="77777777" w:rsidR="00D276EE" w:rsidRPr="00D276EE" w:rsidRDefault="00D276EE" w:rsidP="00D276EE">
      <w:pPr>
        <w:pStyle w:val="BodyText"/>
        <w:ind w:firstLine="720"/>
        <w:jc w:val="both"/>
        <w:rPr>
          <w:color w:val="202124"/>
          <w:lang w:eastAsia="id-ID"/>
        </w:rPr>
      </w:pPr>
      <w:r w:rsidRPr="00D276EE">
        <w:rPr>
          <w:color w:val="202124"/>
          <w:lang w:val="en" w:eastAsia="id-ID"/>
        </w:rPr>
        <w:t>The solvency ratio is the ratio used to measure the extent to which the company's assets are financed by debt. This means how much debt is borne by the company compared to its assets (</w:t>
      </w:r>
      <w:proofErr w:type="spellStart"/>
      <w:r w:rsidRPr="00D276EE">
        <w:rPr>
          <w:color w:val="202124"/>
          <w:lang w:val="en" w:eastAsia="id-ID"/>
        </w:rPr>
        <w:t>Kasmir</w:t>
      </w:r>
      <w:proofErr w:type="spellEnd"/>
      <w:r w:rsidRPr="00D276EE">
        <w:rPr>
          <w:color w:val="202124"/>
          <w:lang w:val="en" w:eastAsia="id-ID"/>
        </w:rPr>
        <w:t>, 2016: 151).</w:t>
      </w:r>
    </w:p>
    <w:p w14:paraId="7B548237" w14:textId="77777777" w:rsidR="001B5598" w:rsidRPr="001B5598" w:rsidRDefault="001B5598" w:rsidP="00C40A65">
      <w:pPr>
        <w:pStyle w:val="BodyText"/>
        <w:ind w:firstLine="720"/>
        <w:jc w:val="both"/>
      </w:pPr>
    </w:p>
    <w:p w14:paraId="316B4F85" w14:textId="77777777" w:rsidR="009941F3" w:rsidRPr="009941F3" w:rsidRDefault="009941F3" w:rsidP="009941F3">
      <w:pPr>
        <w:pStyle w:val="Heading1"/>
        <w:ind w:left="0" w:right="853" w:firstLine="709"/>
        <w:jc w:val="left"/>
        <w:rPr>
          <w:color w:val="202124"/>
          <w:lang w:val="en" w:eastAsia="id-ID"/>
        </w:rPr>
      </w:pPr>
      <w:r w:rsidRPr="009941F3">
        <w:rPr>
          <w:color w:val="202124"/>
          <w:lang w:val="en" w:eastAsia="id-ID"/>
        </w:rPr>
        <w:t xml:space="preserve">Effect of Liquidity on Going Concern Audit </w:t>
      </w:r>
      <w:proofErr w:type="spellStart"/>
      <w:r w:rsidRPr="009941F3">
        <w:rPr>
          <w:color w:val="202124"/>
          <w:lang w:val="en" w:eastAsia="id-ID"/>
        </w:rPr>
        <w:t>Audit</w:t>
      </w:r>
      <w:proofErr w:type="spellEnd"/>
      <w:r w:rsidRPr="009941F3">
        <w:rPr>
          <w:color w:val="202124"/>
          <w:lang w:val="en" w:eastAsia="id-ID"/>
        </w:rPr>
        <w:t xml:space="preserve"> Opinion</w:t>
      </w:r>
    </w:p>
    <w:p w14:paraId="7CD66C04" w14:textId="77777777" w:rsidR="009941F3" w:rsidRPr="009941F3" w:rsidRDefault="009941F3" w:rsidP="009941F3">
      <w:pPr>
        <w:pStyle w:val="BodyText"/>
        <w:ind w:firstLine="720"/>
        <w:jc w:val="both"/>
        <w:rPr>
          <w:color w:val="202124"/>
          <w:lang w:val="en" w:eastAsia="id-ID"/>
        </w:rPr>
      </w:pPr>
      <w:r w:rsidRPr="009941F3">
        <w:rPr>
          <w:color w:val="202124"/>
          <w:lang w:val="en" w:eastAsia="id-ID"/>
        </w:rPr>
        <w:t xml:space="preserve">In research conducted by </w:t>
      </w:r>
      <w:proofErr w:type="spellStart"/>
      <w:r w:rsidRPr="009941F3">
        <w:rPr>
          <w:color w:val="202124"/>
          <w:lang w:val="en" w:eastAsia="id-ID"/>
        </w:rPr>
        <w:t>Pasaribu</w:t>
      </w:r>
      <w:proofErr w:type="spellEnd"/>
      <w:r w:rsidRPr="009941F3">
        <w:rPr>
          <w:color w:val="202124"/>
          <w:lang w:val="en" w:eastAsia="id-ID"/>
        </w:rPr>
        <w:t xml:space="preserve"> (2015), Rahman and Ahmad (2018), Kurniawan, et al. (2019) and </w:t>
      </w:r>
      <w:proofErr w:type="spellStart"/>
      <w:r w:rsidRPr="009941F3">
        <w:rPr>
          <w:color w:val="202124"/>
          <w:lang w:val="en" w:eastAsia="id-ID"/>
        </w:rPr>
        <w:t>Ariani</w:t>
      </w:r>
      <w:proofErr w:type="spellEnd"/>
      <w:r w:rsidRPr="009941F3">
        <w:rPr>
          <w:color w:val="202124"/>
          <w:lang w:val="en" w:eastAsia="id-ID"/>
        </w:rPr>
        <w:t xml:space="preserve"> (2019), the results of this study are that liquidity has no effect on the acceptance of going concern audit opinions. This is because the company's performance to maintain the viability of the company is not only seen from liquidity but can also be seen from the supply of new capital or has the ability to generate good profits in the following year. </w:t>
      </w:r>
      <w:r w:rsidRPr="009941F3">
        <w:rPr>
          <w:color w:val="202124"/>
          <w:lang w:val="en" w:eastAsia="id-ID"/>
        </w:rPr>
        <w:lastRenderedPageBreak/>
        <w:t xml:space="preserve">Meanwhile, in the research conducted by </w:t>
      </w:r>
      <w:proofErr w:type="spellStart"/>
      <w:r w:rsidRPr="009941F3">
        <w:rPr>
          <w:color w:val="202124"/>
          <w:lang w:val="en" w:eastAsia="id-ID"/>
        </w:rPr>
        <w:t>Utami</w:t>
      </w:r>
      <w:proofErr w:type="spellEnd"/>
      <w:r w:rsidRPr="009941F3">
        <w:rPr>
          <w:color w:val="202124"/>
          <w:lang w:val="en" w:eastAsia="id-ID"/>
        </w:rPr>
        <w:t xml:space="preserve"> (2019), the results of this study are that liquidity has an effect on the acceptance of going-concern opinions. This is because the higher the company's liquidity level, the less likely it is that the company will not be able to pay its short-term obligations, in other words, if the company is billed, the company will be able to meet these debts, especially debts that are due.</w:t>
      </w:r>
    </w:p>
    <w:p w14:paraId="48FAD954" w14:textId="77777777" w:rsidR="009941F3" w:rsidRPr="009941F3" w:rsidRDefault="009941F3" w:rsidP="009941F3">
      <w:pPr>
        <w:pStyle w:val="Heading1"/>
        <w:ind w:left="0" w:right="853" w:firstLine="709"/>
        <w:jc w:val="left"/>
        <w:rPr>
          <w:color w:val="202124"/>
          <w:lang w:val="en" w:eastAsia="id-ID"/>
        </w:rPr>
      </w:pPr>
      <w:r w:rsidRPr="009941F3">
        <w:rPr>
          <w:color w:val="202124"/>
          <w:lang w:val="en" w:eastAsia="id-ID"/>
        </w:rPr>
        <w:t>Effect of Profitability on Going Concern Audit Opinion</w:t>
      </w:r>
    </w:p>
    <w:p w14:paraId="5A70395D" w14:textId="77777777" w:rsidR="009941F3" w:rsidRPr="009941F3" w:rsidRDefault="009941F3" w:rsidP="009941F3">
      <w:pPr>
        <w:pStyle w:val="BodyText"/>
        <w:ind w:firstLine="720"/>
        <w:jc w:val="both"/>
        <w:rPr>
          <w:color w:val="202124"/>
          <w:lang w:eastAsia="id-ID"/>
        </w:rPr>
      </w:pPr>
      <w:r w:rsidRPr="009941F3">
        <w:rPr>
          <w:color w:val="202124"/>
          <w:lang w:val="en" w:eastAsia="id-ID"/>
        </w:rPr>
        <w:t xml:space="preserve">In research conducted by </w:t>
      </w:r>
      <w:proofErr w:type="spellStart"/>
      <w:r w:rsidRPr="009941F3">
        <w:rPr>
          <w:color w:val="202124"/>
          <w:lang w:val="en" w:eastAsia="id-ID"/>
        </w:rPr>
        <w:t>Pasaribu</w:t>
      </w:r>
      <w:proofErr w:type="spellEnd"/>
      <w:r w:rsidRPr="009941F3">
        <w:rPr>
          <w:color w:val="202124"/>
          <w:lang w:val="en" w:eastAsia="id-ID"/>
        </w:rPr>
        <w:t xml:space="preserve"> (2015) and Kurniawan, et al. (2019), the results of this study are that profitability has no effect on the acceptance of going-concern audit opinions. This is because the auditor not only considers the profitability ratio but also sees other factors such as other potential bankruptcy and high profitability does not always reflect the good performance of the company. Meanwhile, in the research conducted by Rahman and Ahmad (2018), and </w:t>
      </w:r>
      <w:proofErr w:type="spellStart"/>
      <w:r w:rsidRPr="009941F3">
        <w:rPr>
          <w:color w:val="202124"/>
          <w:lang w:val="en" w:eastAsia="id-ID"/>
        </w:rPr>
        <w:t>Ariani</w:t>
      </w:r>
      <w:proofErr w:type="spellEnd"/>
      <w:r w:rsidRPr="009941F3">
        <w:rPr>
          <w:color w:val="202124"/>
          <w:lang w:val="en" w:eastAsia="id-ID"/>
        </w:rPr>
        <w:t xml:space="preserve"> (2019), the results of this study are that profitability has an effect on the acceptance of going-concern opinions. This is because a high profitability ratio is influenced by the effectiveness of management in managing maximum resources, so the higher the profitability ratio used, namely ROA, the possibility for the auditor to issue a going concern audit opinion is lower and according to </w:t>
      </w:r>
      <w:proofErr w:type="spellStart"/>
      <w:r w:rsidRPr="009941F3">
        <w:rPr>
          <w:color w:val="202124"/>
          <w:lang w:val="en" w:eastAsia="id-ID"/>
        </w:rPr>
        <w:t>Ariani</w:t>
      </w:r>
      <w:proofErr w:type="spellEnd"/>
      <w:r w:rsidRPr="009941F3">
        <w:rPr>
          <w:color w:val="202124"/>
          <w:lang w:val="en" w:eastAsia="id-ID"/>
        </w:rPr>
        <w:t xml:space="preserve"> (2019) by using a profit </w:t>
      </w:r>
      <w:proofErr w:type="gramStart"/>
      <w:r w:rsidRPr="009941F3">
        <w:rPr>
          <w:color w:val="202124"/>
          <w:lang w:val="en" w:eastAsia="id-ID"/>
        </w:rPr>
        <w:t>margin ,</w:t>
      </w:r>
      <w:proofErr w:type="gramEnd"/>
      <w:r w:rsidRPr="009941F3">
        <w:rPr>
          <w:color w:val="202124"/>
          <w:lang w:val="en" w:eastAsia="id-ID"/>
        </w:rPr>
        <w:t xml:space="preserve"> that companies that have negative net income have a tendency to get an auditor's opinion about going concern.</w:t>
      </w:r>
    </w:p>
    <w:p w14:paraId="1CF99C9D" w14:textId="77777777" w:rsidR="009941F3" w:rsidRPr="009941F3" w:rsidRDefault="009941F3" w:rsidP="009941F3">
      <w:pPr>
        <w:pStyle w:val="Heading1"/>
        <w:ind w:left="0" w:right="853" w:firstLine="709"/>
        <w:jc w:val="left"/>
        <w:rPr>
          <w:color w:val="202124"/>
          <w:lang w:val="en" w:eastAsia="id-ID"/>
        </w:rPr>
      </w:pPr>
      <w:r w:rsidRPr="009941F3">
        <w:rPr>
          <w:color w:val="202124"/>
          <w:lang w:val="en" w:eastAsia="id-ID"/>
        </w:rPr>
        <w:t>Effect of Solvency on Going Concern Audit Opinion</w:t>
      </w:r>
    </w:p>
    <w:p w14:paraId="2EF9FCD7" w14:textId="77777777" w:rsidR="009941F3" w:rsidRPr="009941F3" w:rsidRDefault="009941F3" w:rsidP="009941F3">
      <w:pPr>
        <w:pStyle w:val="BodyText"/>
        <w:ind w:firstLine="720"/>
        <w:jc w:val="both"/>
        <w:rPr>
          <w:color w:val="202124"/>
          <w:lang w:val="en" w:eastAsia="id-ID"/>
        </w:rPr>
      </w:pPr>
      <w:r w:rsidRPr="009941F3">
        <w:rPr>
          <w:color w:val="202124"/>
          <w:lang w:val="en" w:eastAsia="id-ID"/>
        </w:rPr>
        <w:t xml:space="preserve">In a study conducted by Kurniawan, et al. (2019), the results of this study are that solvency has no effect on the acceptance of going-concern opinions. This is because the solvency ratio used, namely the debt to asset ratio, has no effect on the acceptance of going concern audit opinions, even though the company's debt condition is high, the company has always good performance and increases profits every year, the auditor will consider the impact of the company's performance so that the company's debt condition high is not the basis for the auditor to provide a going concern audit opinion. Meanwhile, in research conducted by </w:t>
      </w:r>
      <w:proofErr w:type="spellStart"/>
      <w:r w:rsidRPr="009941F3">
        <w:rPr>
          <w:color w:val="202124"/>
          <w:lang w:val="en" w:eastAsia="id-ID"/>
        </w:rPr>
        <w:t>Pasaribu</w:t>
      </w:r>
      <w:proofErr w:type="spellEnd"/>
      <w:r w:rsidRPr="009941F3">
        <w:rPr>
          <w:color w:val="202124"/>
          <w:lang w:val="en" w:eastAsia="id-ID"/>
        </w:rPr>
        <w:t xml:space="preserve"> (2015), Rahman and Ahmad (2018) and </w:t>
      </w:r>
      <w:proofErr w:type="spellStart"/>
      <w:r w:rsidRPr="009941F3">
        <w:rPr>
          <w:color w:val="202124"/>
          <w:lang w:val="en" w:eastAsia="id-ID"/>
        </w:rPr>
        <w:t>Ariani</w:t>
      </w:r>
      <w:proofErr w:type="spellEnd"/>
      <w:r w:rsidRPr="009941F3">
        <w:rPr>
          <w:color w:val="202124"/>
          <w:lang w:val="en" w:eastAsia="id-ID"/>
        </w:rPr>
        <w:t xml:space="preserve"> (2019), the results of these studies are that solvency has an effect on the acceptance of going-concern opinions. This is because companies that have a large total debt compared to total assets have a tendency to get an auditor's opinion about going concern.</w:t>
      </w:r>
    </w:p>
    <w:p w14:paraId="47659AB9" w14:textId="18532F56" w:rsidR="009941F3" w:rsidRPr="009941F3" w:rsidRDefault="009941F3" w:rsidP="009941F3">
      <w:pPr>
        <w:pStyle w:val="Heading1"/>
        <w:ind w:left="0" w:right="853" w:firstLine="709"/>
        <w:jc w:val="left"/>
        <w:rPr>
          <w:color w:val="202124"/>
          <w:lang w:val="en" w:eastAsia="id-ID"/>
        </w:rPr>
      </w:pPr>
      <w:r w:rsidRPr="009941F3">
        <w:rPr>
          <w:color w:val="202124"/>
          <w:lang w:val="en" w:eastAsia="id-ID"/>
        </w:rPr>
        <w:t>Effect of Liquidity, Profitability, and Solvency on Going Concern Audit</w:t>
      </w:r>
      <w:r>
        <w:rPr>
          <w:color w:val="202124"/>
          <w:lang w:eastAsia="id-ID"/>
        </w:rPr>
        <w:t xml:space="preserve"> </w:t>
      </w:r>
      <w:r w:rsidRPr="009941F3">
        <w:rPr>
          <w:color w:val="202124"/>
          <w:lang w:val="en" w:eastAsia="id-ID"/>
        </w:rPr>
        <w:t>Opinion</w:t>
      </w:r>
    </w:p>
    <w:p w14:paraId="1712727B" w14:textId="63A42891" w:rsidR="009941F3" w:rsidRPr="009941F3" w:rsidRDefault="009941F3" w:rsidP="009941F3">
      <w:pPr>
        <w:pStyle w:val="BodyText"/>
        <w:ind w:firstLine="720"/>
        <w:jc w:val="both"/>
        <w:rPr>
          <w:color w:val="202124"/>
          <w:lang w:val="en" w:eastAsia="id-ID"/>
        </w:rPr>
      </w:pPr>
      <w:r w:rsidRPr="009941F3">
        <w:rPr>
          <w:color w:val="202124"/>
          <w:lang w:val="en" w:eastAsia="id-ID"/>
        </w:rPr>
        <w:t>Liquidity is useful for evaluating the ability to meet short-term obligations. Specifically, this ratio is used to measure the availability of funds owned by the company to meet its short-term obligations. If the company cannot pay off its short-term debt, it will affect the going concern auditor's opinion.</w:t>
      </w:r>
      <w:r>
        <w:rPr>
          <w:color w:val="202124"/>
          <w:lang w:eastAsia="id-ID"/>
        </w:rPr>
        <w:t xml:space="preserve"> </w:t>
      </w:r>
      <w:r w:rsidRPr="009941F3">
        <w:rPr>
          <w:color w:val="202124"/>
          <w:lang w:val="en" w:eastAsia="id-ID"/>
        </w:rPr>
        <w:t>Profitability is useful for evaluating the company's ability to benefit from the use of its capital. Specifically, this ratio is used to measure the use of funds owned by the company to obtain profits. Companies that have negative profitability ratios in successive periods will cause going concern problems because negative profits mean that the company suffers losses and will disrupt the company's survival.</w:t>
      </w:r>
      <w:r>
        <w:rPr>
          <w:color w:val="202124"/>
          <w:lang w:eastAsia="id-ID"/>
        </w:rPr>
        <w:t xml:space="preserve"> </w:t>
      </w:r>
      <w:r w:rsidRPr="009941F3">
        <w:rPr>
          <w:color w:val="202124"/>
          <w:lang w:val="en" w:eastAsia="id-ID"/>
        </w:rPr>
        <w:t>Solvency is useful for evaluating how much the company's funding needs are financed by debt. Specifically, this ratio is used to measure the company's strength in meeting long-term obligations. Companies that have high debt tend to experience financial difficulties.</w:t>
      </w:r>
      <w:r>
        <w:rPr>
          <w:color w:val="202124"/>
          <w:lang w:eastAsia="id-ID"/>
        </w:rPr>
        <w:t xml:space="preserve"> </w:t>
      </w:r>
      <w:r w:rsidRPr="009941F3">
        <w:rPr>
          <w:color w:val="202124"/>
          <w:lang w:val="en" w:eastAsia="id-ID"/>
        </w:rPr>
        <w:t xml:space="preserve">This is supported by research conducted by </w:t>
      </w:r>
      <w:proofErr w:type="spellStart"/>
      <w:r w:rsidRPr="009941F3">
        <w:rPr>
          <w:color w:val="202124"/>
          <w:lang w:val="en" w:eastAsia="id-ID"/>
        </w:rPr>
        <w:t>Haryani</w:t>
      </w:r>
      <w:proofErr w:type="spellEnd"/>
      <w:r w:rsidRPr="009941F3">
        <w:rPr>
          <w:color w:val="202124"/>
          <w:lang w:val="en" w:eastAsia="id-ID"/>
        </w:rPr>
        <w:t xml:space="preserve"> (2017) that jointly profitability, liquidity and solvency affect the auditor in providing a going concern audit opinion. Because financial performance is interrelated with each other so that it strengthens an auditor to provide a going concern audit opinion.</w:t>
      </w:r>
    </w:p>
    <w:p w14:paraId="19E76CC1" w14:textId="77777777" w:rsidR="009941F3" w:rsidRDefault="009941F3" w:rsidP="00C40A65">
      <w:pPr>
        <w:pStyle w:val="BodyText"/>
        <w:ind w:firstLine="720"/>
        <w:jc w:val="both"/>
        <w:rPr>
          <w:color w:val="FF0000"/>
        </w:rPr>
      </w:pPr>
    </w:p>
    <w:p w14:paraId="19BE3B16" w14:textId="77777777" w:rsidR="00C40A65" w:rsidRPr="00AF441C" w:rsidRDefault="00C40A65" w:rsidP="00C40A65">
      <w:pPr>
        <w:pStyle w:val="BodyText"/>
        <w:ind w:left="670" w:right="1316" w:firstLine="770"/>
        <w:jc w:val="both"/>
        <w:rPr>
          <w:sz w:val="27"/>
        </w:rPr>
      </w:pPr>
    </w:p>
    <w:p w14:paraId="31ED8878" w14:textId="77777777" w:rsidR="00C40A65" w:rsidRDefault="00C40A65" w:rsidP="00E45AAD">
      <w:pPr>
        <w:pStyle w:val="Heading1"/>
        <w:numPr>
          <w:ilvl w:val="0"/>
          <w:numId w:val="5"/>
        </w:numPr>
        <w:ind w:left="709" w:right="853"/>
        <w:jc w:val="left"/>
      </w:pPr>
      <w:r w:rsidRPr="00364118">
        <w:rPr>
          <w:lang w:val="en-US"/>
        </w:rPr>
        <w:t>RESEARCH</w:t>
      </w:r>
      <w:r w:rsidRPr="0021158F">
        <w:t xml:space="preserve"> METHODOLOGY</w:t>
      </w:r>
    </w:p>
    <w:p w14:paraId="00993665" w14:textId="77777777" w:rsidR="001B5598" w:rsidRPr="001B5598" w:rsidRDefault="001B5598" w:rsidP="00C40A65">
      <w:pPr>
        <w:pStyle w:val="Heading1"/>
        <w:ind w:left="0" w:right="853"/>
        <w:jc w:val="left"/>
        <w:rPr>
          <w:b w:val="0"/>
          <w:bCs w:val="0"/>
        </w:rPr>
      </w:pPr>
    </w:p>
    <w:p w14:paraId="32513EF7" w14:textId="593ED1AE" w:rsidR="00975109" w:rsidRPr="00975109" w:rsidRDefault="00D56A3E" w:rsidP="00975109">
      <w:pPr>
        <w:pStyle w:val="BodyText"/>
        <w:ind w:firstLine="720"/>
        <w:jc w:val="both"/>
        <w:rPr>
          <w:color w:val="202124"/>
          <w:lang w:eastAsia="id-ID"/>
        </w:rPr>
      </w:pPr>
      <w:r w:rsidRPr="00D56A3E">
        <w:rPr>
          <w:color w:val="202124"/>
          <w:lang w:val="en" w:eastAsia="id-ID"/>
        </w:rPr>
        <w:t xml:space="preserve">The method used in this research is quantitative method using descriptive statistical </w:t>
      </w:r>
      <w:r w:rsidRPr="00D56A3E">
        <w:rPr>
          <w:color w:val="202124"/>
          <w:lang w:val="en" w:eastAsia="id-ID"/>
        </w:rPr>
        <w:lastRenderedPageBreak/>
        <w:t>analysis and the problem formulation approach used in this research is associative and causal. In this study, associative and causal methods are used to test how the effect of Liquidity Ratio, Profitability and Solvency as an independent variable on Going Concern Audit Opinion as the dependent variable and also to test the hypothesis that is determined whether it is accepted or rejected. The research was conducted on retail trade companies listed on the Indonesia Stock Exchange.</w:t>
      </w:r>
      <w:r w:rsidR="00975109">
        <w:rPr>
          <w:color w:val="202124"/>
          <w:lang w:eastAsia="id-ID"/>
        </w:rPr>
        <w:t xml:space="preserve"> </w:t>
      </w:r>
      <w:r w:rsidR="00975109" w:rsidRPr="00975109">
        <w:rPr>
          <w:color w:val="202124"/>
          <w:lang w:val="en" w:eastAsia="id-ID"/>
        </w:rPr>
        <w:t>The hypothesis in this study was tested using a logistic regression model. This is done because the dependent variable is qualitative data that uses dummy variables, namely the variables used to convert qualitative data into quantitative ones by categorizing the dependent variable into 2 numbers, namely, 0 and 1.</w:t>
      </w:r>
    </w:p>
    <w:p w14:paraId="71E963DE" w14:textId="77777777" w:rsidR="00975109" w:rsidRPr="00975109" w:rsidRDefault="00975109" w:rsidP="009751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color w:val="202124"/>
          <w:sz w:val="24"/>
          <w:szCs w:val="24"/>
          <w:lang w:val="en" w:eastAsia="id-ID"/>
        </w:rPr>
      </w:pPr>
      <w:r w:rsidRPr="00975109">
        <w:rPr>
          <w:color w:val="202124"/>
          <w:sz w:val="24"/>
          <w:szCs w:val="24"/>
          <w:lang w:val="en" w:eastAsia="id-ID"/>
        </w:rPr>
        <w:t>a. Descriptive statistics</w:t>
      </w:r>
    </w:p>
    <w:p w14:paraId="21A92932" w14:textId="77777777" w:rsidR="00975109" w:rsidRPr="00975109" w:rsidRDefault="00975109" w:rsidP="00975109">
      <w:pPr>
        <w:pStyle w:val="BodyText"/>
        <w:ind w:firstLine="720"/>
        <w:jc w:val="both"/>
        <w:rPr>
          <w:color w:val="202124"/>
          <w:lang w:val="en" w:eastAsia="id-ID"/>
        </w:rPr>
      </w:pPr>
      <w:r w:rsidRPr="00975109">
        <w:rPr>
          <w:color w:val="202124"/>
          <w:lang w:val="en" w:eastAsia="id-ID"/>
        </w:rPr>
        <w:t xml:space="preserve">Descriptive statistics are used to provide an overview or description of a data seen from the average (mean), standard deviation, variance, maximum, minimum, sum, range, kurtosis and </w:t>
      </w:r>
      <w:proofErr w:type="spellStart"/>
      <w:r w:rsidRPr="00975109">
        <w:rPr>
          <w:color w:val="202124"/>
          <w:lang w:val="en" w:eastAsia="id-ID"/>
        </w:rPr>
        <w:t>skeweness</w:t>
      </w:r>
      <w:proofErr w:type="spellEnd"/>
      <w:r w:rsidRPr="00975109">
        <w:rPr>
          <w:color w:val="202124"/>
          <w:lang w:val="en" w:eastAsia="id-ID"/>
        </w:rPr>
        <w:t xml:space="preserve"> (winning distribution). This needs to be done to see the overall picture of the samples that have been collected and meet the requirements to be used as research samples (</w:t>
      </w:r>
      <w:proofErr w:type="spellStart"/>
      <w:r w:rsidRPr="00975109">
        <w:rPr>
          <w:color w:val="202124"/>
          <w:lang w:val="en" w:eastAsia="id-ID"/>
        </w:rPr>
        <w:t>Ghozali</w:t>
      </w:r>
      <w:proofErr w:type="spellEnd"/>
      <w:r w:rsidRPr="00975109">
        <w:rPr>
          <w:color w:val="202124"/>
          <w:lang w:val="en" w:eastAsia="id-ID"/>
        </w:rPr>
        <w:t>, 2011: 19).</w:t>
      </w:r>
    </w:p>
    <w:p w14:paraId="719E2C37" w14:textId="77777777" w:rsidR="00975109" w:rsidRPr="00975109" w:rsidRDefault="00975109" w:rsidP="009751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color w:val="202124"/>
          <w:sz w:val="24"/>
          <w:szCs w:val="24"/>
          <w:lang w:val="en" w:eastAsia="id-ID"/>
        </w:rPr>
      </w:pPr>
      <w:r w:rsidRPr="00975109">
        <w:rPr>
          <w:color w:val="202124"/>
          <w:sz w:val="24"/>
          <w:szCs w:val="24"/>
          <w:lang w:val="en" w:eastAsia="id-ID"/>
        </w:rPr>
        <w:t>b. Classic assumption test</w:t>
      </w:r>
    </w:p>
    <w:p w14:paraId="5C133E01" w14:textId="77777777" w:rsidR="00975109" w:rsidRPr="00975109" w:rsidRDefault="00975109" w:rsidP="00975109">
      <w:pPr>
        <w:pStyle w:val="BodyText"/>
        <w:ind w:firstLine="720"/>
        <w:jc w:val="both"/>
        <w:rPr>
          <w:color w:val="202124"/>
          <w:lang w:val="en" w:eastAsia="id-ID"/>
        </w:rPr>
      </w:pPr>
      <w:r w:rsidRPr="00975109">
        <w:rPr>
          <w:color w:val="202124"/>
          <w:lang w:val="en" w:eastAsia="id-ID"/>
        </w:rPr>
        <w:t>The classical assumption test aims to obtain more precise estimates and conclusions in research (</w:t>
      </w:r>
      <w:proofErr w:type="spellStart"/>
      <w:r w:rsidRPr="00975109">
        <w:rPr>
          <w:color w:val="202124"/>
          <w:lang w:val="en" w:eastAsia="id-ID"/>
        </w:rPr>
        <w:t>Ghozali</w:t>
      </w:r>
      <w:proofErr w:type="spellEnd"/>
      <w:r w:rsidRPr="00975109">
        <w:rPr>
          <w:color w:val="202124"/>
          <w:lang w:val="en" w:eastAsia="id-ID"/>
        </w:rPr>
        <w:t>, 2011:162). In this study, the classical assumption test used is the multicollinearity test. This test aims to prove or test whether there is a linear relationship between the independent variables with one another.</w:t>
      </w:r>
    </w:p>
    <w:p w14:paraId="693E884C" w14:textId="77777777" w:rsidR="00975109" w:rsidRPr="00975109" w:rsidRDefault="00975109" w:rsidP="0097510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color w:val="202124"/>
          <w:sz w:val="24"/>
          <w:szCs w:val="24"/>
          <w:lang w:val="en" w:eastAsia="id-ID"/>
        </w:rPr>
      </w:pPr>
      <w:r w:rsidRPr="00975109">
        <w:rPr>
          <w:color w:val="202124"/>
          <w:sz w:val="24"/>
          <w:szCs w:val="24"/>
          <w:lang w:val="en" w:eastAsia="id-ID"/>
        </w:rPr>
        <w:t>c. Logistic regression analysis</w:t>
      </w:r>
    </w:p>
    <w:p w14:paraId="1EFFC6F2" w14:textId="77777777" w:rsidR="00975109" w:rsidRPr="00975109" w:rsidRDefault="00975109" w:rsidP="00975109">
      <w:pPr>
        <w:pStyle w:val="BodyText"/>
        <w:ind w:firstLine="720"/>
        <w:jc w:val="both"/>
        <w:rPr>
          <w:color w:val="202124"/>
          <w:lang w:val="en" w:eastAsia="id-ID"/>
        </w:rPr>
      </w:pPr>
      <w:r w:rsidRPr="00975109">
        <w:rPr>
          <w:color w:val="202124"/>
          <w:lang w:val="en" w:eastAsia="id-ID"/>
        </w:rPr>
        <w:t xml:space="preserve">This study uses logistic regression analysis for data management. According to </w:t>
      </w:r>
      <w:proofErr w:type="spellStart"/>
      <w:r w:rsidRPr="00975109">
        <w:rPr>
          <w:color w:val="202124"/>
          <w:lang w:val="en" w:eastAsia="id-ID"/>
        </w:rPr>
        <w:t>Ghozali</w:t>
      </w:r>
      <w:proofErr w:type="spellEnd"/>
      <w:r w:rsidRPr="00975109">
        <w:rPr>
          <w:color w:val="202124"/>
          <w:lang w:val="en" w:eastAsia="id-ID"/>
        </w:rPr>
        <w:t xml:space="preserve"> (2011: 334) logistic regression is similar to discriminant, namely we want to test whether the occurrence of the dependent variable can be predicted with the independent variable being a mixture of continuous (metric) and categorical (non-metric) variables. This logistic regression analysis does not need to assume the normality of the data on the independent variables and ignores heteroscedasticity.</w:t>
      </w:r>
    </w:p>
    <w:p w14:paraId="2673404C" w14:textId="7FC2DBEA" w:rsidR="00975109" w:rsidRPr="00975109" w:rsidRDefault="00975109" w:rsidP="00975109">
      <w:pPr>
        <w:pStyle w:val="BodyText"/>
        <w:ind w:firstLine="720"/>
        <w:jc w:val="both"/>
        <w:rPr>
          <w:color w:val="202124"/>
          <w:lang w:val="en" w:eastAsia="id-ID"/>
        </w:rPr>
      </w:pPr>
      <w:r w:rsidRPr="00975109">
        <w:rPr>
          <w:color w:val="202124"/>
          <w:lang w:val="en" w:eastAsia="id-ID"/>
        </w:rPr>
        <w:t xml:space="preserve">The use of logistic regression on the dependent variable or the dependent variable uses a dummy variable which is one of the requirements in using logistic regression analysis. The feasibility of the regression model was assessed using Hosmer and </w:t>
      </w:r>
      <w:proofErr w:type="spellStart"/>
      <w:r w:rsidRPr="00975109">
        <w:rPr>
          <w:color w:val="202124"/>
          <w:lang w:val="en" w:eastAsia="id-ID"/>
        </w:rPr>
        <w:t>Lemeshow's</w:t>
      </w:r>
      <w:proofErr w:type="spellEnd"/>
      <w:r w:rsidRPr="00975109">
        <w:rPr>
          <w:color w:val="202124"/>
          <w:lang w:val="en" w:eastAsia="id-ID"/>
        </w:rPr>
        <w:t xml:space="preserve"> Goodness of Fit Test. This model is to test the null hypothesis that the empirical data match or fit the model (there is no difference between the model and the data so it is said to be fit). As for the results if (</w:t>
      </w:r>
      <w:proofErr w:type="spellStart"/>
      <w:r w:rsidRPr="00975109">
        <w:rPr>
          <w:color w:val="202124"/>
          <w:lang w:val="en" w:eastAsia="id-ID"/>
        </w:rPr>
        <w:t>Ghozali</w:t>
      </w:r>
      <w:proofErr w:type="spellEnd"/>
      <w:r w:rsidRPr="00975109">
        <w:rPr>
          <w:color w:val="202124"/>
          <w:lang w:val="en" w:eastAsia="id-ID"/>
        </w:rPr>
        <w:t>, 2011:341)</w:t>
      </w:r>
      <w:r>
        <w:rPr>
          <w:color w:val="202124"/>
          <w:lang w:eastAsia="id-ID"/>
        </w:rPr>
        <w:t xml:space="preserve"> </w:t>
      </w:r>
      <w:r w:rsidRPr="00975109">
        <w:rPr>
          <w:color w:val="202124"/>
          <w:lang w:val="en" w:eastAsia="id-ID"/>
        </w:rPr>
        <w:t>The regression model used to test the hypothesis is as follows:</w:t>
      </w:r>
    </w:p>
    <w:p w14:paraId="7CB714E4" w14:textId="77777777" w:rsidR="00D56A3E" w:rsidRDefault="00D56A3E" w:rsidP="00C40A65">
      <w:pPr>
        <w:pStyle w:val="BodyText"/>
        <w:ind w:firstLine="720"/>
        <w:jc w:val="both"/>
        <w:rPr>
          <w:color w:val="FF0000"/>
        </w:rPr>
      </w:pPr>
    </w:p>
    <w:p w14:paraId="253146D2" w14:textId="3DD5BDBA" w:rsidR="00E45AAD" w:rsidRDefault="00975109" w:rsidP="00C40A65">
      <w:pPr>
        <w:pStyle w:val="BodyText"/>
        <w:ind w:firstLine="720"/>
        <w:jc w:val="both"/>
      </w:pPr>
      <w:r>
        <w:rPr>
          <w:rFonts w:ascii="Arial" w:hAnsi="Arial" w:cs="Arial"/>
          <w:noProof/>
        </w:rPr>
        <w:drawing>
          <wp:inline distT="0" distB="0" distL="0" distR="0" wp14:anchorId="04AF11A1" wp14:editId="5BC019E2">
            <wp:extent cx="2198182" cy="4025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2253" cy="416156"/>
                    </a:xfrm>
                    <a:prstGeom prst="rect">
                      <a:avLst/>
                    </a:prstGeom>
                    <a:noFill/>
                  </pic:spPr>
                </pic:pic>
              </a:graphicData>
            </a:graphic>
          </wp:inline>
        </w:drawing>
      </w:r>
    </w:p>
    <w:tbl>
      <w:tblPr>
        <w:tblStyle w:val="TableGrid"/>
        <w:tblW w:w="4183" w:type="dxa"/>
        <w:tblInd w:w="0" w:type="dxa"/>
        <w:tblLook w:val="04A0" w:firstRow="1" w:lastRow="0" w:firstColumn="1" w:lastColumn="0" w:noHBand="0" w:noVBand="1"/>
      </w:tblPr>
      <w:tblGrid>
        <w:gridCol w:w="970"/>
        <w:gridCol w:w="3213"/>
      </w:tblGrid>
      <w:tr w:rsidR="00975109" w:rsidRPr="00975109" w14:paraId="6C9EC40A" w14:textId="77777777" w:rsidTr="00975109">
        <w:trPr>
          <w:trHeight w:val="288"/>
        </w:trPr>
        <w:tc>
          <w:tcPr>
            <w:tcW w:w="970" w:type="dxa"/>
            <w:tcBorders>
              <w:top w:val="nil"/>
              <w:left w:val="nil"/>
              <w:bottom w:val="nil"/>
              <w:right w:val="nil"/>
            </w:tcBorders>
          </w:tcPr>
          <w:p w14:paraId="0EA51DE2" w14:textId="77777777" w:rsidR="00975109" w:rsidRPr="00975109" w:rsidRDefault="00975109" w:rsidP="00975109">
            <w:pPr>
              <w:tabs>
                <w:tab w:val="center" w:pos="720"/>
              </w:tabs>
              <w:jc w:val="both"/>
              <w:rPr>
                <w:rFonts w:eastAsia="Calibri"/>
                <w:color w:val="000000"/>
                <w:sz w:val="20"/>
                <w:szCs w:val="20"/>
              </w:rPr>
            </w:pPr>
            <w:r w:rsidRPr="00975109">
              <w:rPr>
                <w:rFonts w:eastAsia="Calibri"/>
                <w:color w:val="000000"/>
                <w:sz w:val="20"/>
                <w:szCs w:val="20"/>
              </w:rPr>
              <w:t>Y</w:t>
            </w:r>
          </w:p>
        </w:tc>
        <w:tc>
          <w:tcPr>
            <w:tcW w:w="3213" w:type="dxa"/>
            <w:tcBorders>
              <w:top w:val="nil"/>
              <w:left w:val="nil"/>
              <w:bottom w:val="nil"/>
              <w:right w:val="nil"/>
            </w:tcBorders>
          </w:tcPr>
          <w:p w14:paraId="6F78146E" w14:textId="77777777" w:rsidR="00975109" w:rsidRPr="00975109" w:rsidRDefault="00975109" w:rsidP="00975109">
            <w:pPr>
              <w:jc w:val="both"/>
              <w:rPr>
                <w:rFonts w:eastAsia="Calibri"/>
                <w:i/>
                <w:color w:val="000000"/>
                <w:sz w:val="20"/>
                <w:szCs w:val="20"/>
              </w:rPr>
            </w:pPr>
            <w:r w:rsidRPr="00975109">
              <w:rPr>
                <w:rFonts w:eastAsia="Calibri"/>
                <w:color w:val="000000"/>
                <w:sz w:val="20"/>
                <w:szCs w:val="20"/>
              </w:rPr>
              <w:t xml:space="preserve">= Variabel </w:t>
            </w:r>
            <w:proofErr w:type="spellStart"/>
            <w:r w:rsidRPr="00975109">
              <w:rPr>
                <w:rFonts w:eastAsia="Calibri"/>
                <w:i/>
                <w:color w:val="000000"/>
                <w:sz w:val="20"/>
                <w:szCs w:val="20"/>
              </w:rPr>
              <w:t>Dummy</w:t>
            </w:r>
            <w:proofErr w:type="spellEnd"/>
            <w:r w:rsidRPr="00975109">
              <w:rPr>
                <w:rFonts w:eastAsia="Calibri"/>
                <w:i/>
                <w:color w:val="000000"/>
                <w:sz w:val="20"/>
                <w:szCs w:val="20"/>
              </w:rPr>
              <w:t xml:space="preserve"> </w:t>
            </w:r>
            <w:r w:rsidRPr="00975109">
              <w:rPr>
                <w:rFonts w:eastAsia="Calibri"/>
                <w:color w:val="000000"/>
                <w:sz w:val="20"/>
                <w:szCs w:val="20"/>
              </w:rPr>
              <w:t xml:space="preserve">Opini Audit </w:t>
            </w:r>
            <w:proofErr w:type="spellStart"/>
            <w:r w:rsidRPr="00975109">
              <w:rPr>
                <w:rFonts w:eastAsia="Calibri"/>
                <w:i/>
                <w:color w:val="000000"/>
                <w:sz w:val="20"/>
                <w:szCs w:val="20"/>
              </w:rPr>
              <w:t>Going</w:t>
            </w:r>
            <w:proofErr w:type="spellEnd"/>
            <w:r w:rsidRPr="00975109">
              <w:rPr>
                <w:rFonts w:eastAsia="Calibri"/>
                <w:i/>
                <w:color w:val="000000"/>
                <w:sz w:val="20"/>
                <w:szCs w:val="20"/>
              </w:rPr>
              <w:t xml:space="preserve"> </w:t>
            </w:r>
          </w:p>
          <w:p w14:paraId="6CB4BC0A" w14:textId="77777777" w:rsidR="00975109" w:rsidRPr="00975109" w:rsidRDefault="00975109" w:rsidP="00975109">
            <w:pPr>
              <w:jc w:val="both"/>
              <w:rPr>
                <w:rFonts w:eastAsia="Calibri"/>
                <w:color w:val="000000"/>
                <w:sz w:val="20"/>
                <w:szCs w:val="20"/>
              </w:rPr>
            </w:pPr>
            <w:proofErr w:type="spellStart"/>
            <w:r w:rsidRPr="00975109">
              <w:rPr>
                <w:rFonts w:eastAsia="Calibri"/>
                <w:i/>
                <w:color w:val="000000"/>
                <w:sz w:val="20"/>
                <w:szCs w:val="20"/>
              </w:rPr>
              <w:t>Concern</w:t>
            </w:r>
            <w:proofErr w:type="spellEnd"/>
            <w:r w:rsidRPr="00975109">
              <w:rPr>
                <w:rFonts w:eastAsia="Calibri"/>
                <w:color w:val="000000"/>
                <w:sz w:val="20"/>
                <w:szCs w:val="20"/>
              </w:rPr>
              <w:t xml:space="preserve"> </w:t>
            </w:r>
          </w:p>
        </w:tc>
      </w:tr>
      <w:tr w:rsidR="00975109" w:rsidRPr="00975109" w14:paraId="25311B75" w14:textId="77777777" w:rsidTr="00975109">
        <w:trPr>
          <w:trHeight w:val="388"/>
        </w:trPr>
        <w:tc>
          <w:tcPr>
            <w:tcW w:w="970" w:type="dxa"/>
            <w:tcBorders>
              <w:top w:val="nil"/>
              <w:left w:val="nil"/>
              <w:bottom w:val="nil"/>
              <w:right w:val="nil"/>
            </w:tcBorders>
            <w:vAlign w:val="center"/>
          </w:tcPr>
          <w:p w14:paraId="21D3AFF1" w14:textId="77777777" w:rsidR="00975109" w:rsidRPr="00975109" w:rsidRDefault="00975109" w:rsidP="00975109">
            <w:pPr>
              <w:tabs>
                <w:tab w:val="center" w:pos="720"/>
              </w:tabs>
              <w:jc w:val="both"/>
              <w:rPr>
                <w:rFonts w:eastAsia="Calibri"/>
                <w:bCs/>
                <w:color w:val="000000"/>
                <w:sz w:val="20"/>
                <w:szCs w:val="20"/>
              </w:rPr>
            </w:pPr>
            <w:r w:rsidRPr="00975109">
              <w:rPr>
                <w:rFonts w:eastAsia="Calibri"/>
                <w:bCs/>
                <w:color w:val="000000"/>
                <w:sz w:val="20"/>
                <w:szCs w:val="20"/>
              </w:rPr>
              <w:t>α</w:t>
            </w:r>
            <w:r w:rsidRPr="00975109">
              <w:rPr>
                <w:rFonts w:eastAsia="Calibri"/>
                <w:bCs/>
                <w:color w:val="000000"/>
                <w:sz w:val="20"/>
                <w:szCs w:val="20"/>
              </w:rPr>
              <w:tab/>
              <w:t xml:space="preserve"> </w:t>
            </w:r>
          </w:p>
        </w:tc>
        <w:tc>
          <w:tcPr>
            <w:tcW w:w="3213" w:type="dxa"/>
            <w:tcBorders>
              <w:top w:val="nil"/>
              <w:left w:val="nil"/>
              <w:bottom w:val="nil"/>
              <w:right w:val="nil"/>
            </w:tcBorders>
            <w:vAlign w:val="center"/>
          </w:tcPr>
          <w:p w14:paraId="51117137" w14:textId="77777777" w:rsidR="00975109" w:rsidRPr="00975109" w:rsidRDefault="00975109" w:rsidP="00975109">
            <w:pPr>
              <w:jc w:val="both"/>
              <w:rPr>
                <w:rFonts w:eastAsia="Calibri"/>
                <w:color w:val="000000"/>
                <w:sz w:val="20"/>
                <w:szCs w:val="20"/>
              </w:rPr>
            </w:pPr>
            <w:r w:rsidRPr="00975109">
              <w:rPr>
                <w:rFonts w:eastAsia="Calibri"/>
                <w:color w:val="000000"/>
                <w:sz w:val="20"/>
                <w:szCs w:val="20"/>
              </w:rPr>
              <w:t xml:space="preserve">= Konstanta persamaan regresi </w:t>
            </w:r>
          </w:p>
        </w:tc>
      </w:tr>
      <w:tr w:rsidR="00975109" w:rsidRPr="00975109" w14:paraId="09B9DA5C" w14:textId="77777777" w:rsidTr="00975109">
        <w:trPr>
          <w:trHeight w:val="393"/>
        </w:trPr>
        <w:tc>
          <w:tcPr>
            <w:tcW w:w="970" w:type="dxa"/>
            <w:tcBorders>
              <w:top w:val="nil"/>
              <w:left w:val="nil"/>
              <w:bottom w:val="nil"/>
              <w:right w:val="nil"/>
            </w:tcBorders>
            <w:vAlign w:val="center"/>
          </w:tcPr>
          <w:p w14:paraId="67F70E20" w14:textId="77777777" w:rsidR="00975109" w:rsidRPr="00975109" w:rsidRDefault="00975109" w:rsidP="00975109">
            <w:pPr>
              <w:jc w:val="both"/>
              <w:rPr>
                <w:rFonts w:eastAsia="Calibri"/>
                <w:color w:val="000000"/>
                <w:sz w:val="20"/>
                <w:szCs w:val="20"/>
              </w:rPr>
            </w:pPr>
            <w:r w:rsidRPr="00975109">
              <w:rPr>
                <w:rFonts w:eastAsia="Calibri"/>
                <w:color w:val="000000"/>
                <w:sz w:val="20"/>
                <w:szCs w:val="20"/>
              </w:rPr>
              <w:t>β</w:t>
            </w:r>
            <w:r w:rsidRPr="00975109">
              <w:rPr>
                <w:rFonts w:eastAsia="Calibri"/>
                <w:color w:val="000000"/>
                <w:sz w:val="20"/>
                <w:szCs w:val="20"/>
                <w:vertAlign w:val="subscript"/>
              </w:rPr>
              <w:t>1</w:t>
            </w:r>
            <w:r w:rsidRPr="00975109">
              <w:rPr>
                <w:rFonts w:eastAsia="Calibri"/>
                <w:color w:val="000000"/>
                <w:sz w:val="20"/>
                <w:szCs w:val="20"/>
              </w:rPr>
              <w:t>, β</w:t>
            </w:r>
            <w:r w:rsidRPr="00975109">
              <w:rPr>
                <w:rFonts w:eastAsia="Calibri"/>
                <w:color w:val="000000"/>
                <w:sz w:val="20"/>
                <w:szCs w:val="20"/>
                <w:vertAlign w:val="subscript"/>
              </w:rPr>
              <w:t xml:space="preserve">2, </w:t>
            </w:r>
            <w:r w:rsidRPr="00975109">
              <w:rPr>
                <w:rFonts w:eastAsia="Calibri"/>
                <w:color w:val="000000"/>
                <w:sz w:val="20"/>
                <w:szCs w:val="20"/>
              </w:rPr>
              <w:t xml:space="preserve"> β</w:t>
            </w:r>
            <w:r w:rsidRPr="00975109">
              <w:rPr>
                <w:rFonts w:eastAsia="Calibri"/>
                <w:color w:val="000000"/>
                <w:sz w:val="20"/>
                <w:szCs w:val="20"/>
                <w:vertAlign w:val="subscript"/>
              </w:rPr>
              <w:t>3</w:t>
            </w:r>
          </w:p>
        </w:tc>
        <w:tc>
          <w:tcPr>
            <w:tcW w:w="3213" w:type="dxa"/>
            <w:tcBorders>
              <w:top w:val="nil"/>
              <w:left w:val="nil"/>
              <w:bottom w:val="nil"/>
              <w:right w:val="nil"/>
            </w:tcBorders>
            <w:vAlign w:val="center"/>
          </w:tcPr>
          <w:p w14:paraId="0BE5CB6D" w14:textId="77777777" w:rsidR="00975109" w:rsidRPr="00975109" w:rsidRDefault="00975109" w:rsidP="00975109">
            <w:pPr>
              <w:jc w:val="both"/>
              <w:rPr>
                <w:rFonts w:eastAsia="Calibri"/>
                <w:color w:val="000000"/>
                <w:sz w:val="20"/>
                <w:szCs w:val="20"/>
              </w:rPr>
            </w:pPr>
            <w:r w:rsidRPr="00975109">
              <w:rPr>
                <w:rFonts w:eastAsia="Calibri"/>
                <w:color w:val="000000"/>
                <w:sz w:val="20"/>
                <w:szCs w:val="20"/>
              </w:rPr>
              <w:t xml:space="preserve">= Koefisien regresi </w:t>
            </w:r>
          </w:p>
        </w:tc>
      </w:tr>
      <w:tr w:rsidR="00975109" w:rsidRPr="00975109" w14:paraId="1B826D73" w14:textId="77777777" w:rsidTr="00975109">
        <w:trPr>
          <w:trHeight w:val="388"/>
        </w:trPr>
        <w:tc>
          <w:tcPr>
            <w:tcW w:w="970" w:type="dxa"/>
            <w:tcBorders>
              <w:top w:val="nil"/>
              <w:left w:val="nil"/>
              <w:bottom w:val="nil"/>
              <w:right w:val="nil"/>
            </w:tcBorders>
            <w:vAlign w:val="center"/>
          </w:tcPr>
          <w:p w14:paraId="39FAB305" w14:textId="77777777" w:rsidR="00975109" w:rsidRPr="00975109" w:rsidRDefault="00975109" w:rsidP="00975109">
            <w:pPr>
              <w:tabs>
                <w:tab w:val="center" w:pos="720"/>
              </w:tabs>
              <w:jc w:val="both"/>
              <w:rPr>
                <w:rFonts w:eastAsia="Calibri"/>
                <w:color w:val="000000"/>
                <w:sz w:val="20"/>
                <w:szCs w:val="20"/>
              </w:rPr>
            </w:pPr>
            <w:r w:rsidRPr="00975109">
              <w:rPr>
                <w:rFonts w:eastAsia="Calibri"/>
                <w:color w:val="000000"/>
                <w:sz w:val="20"/>
                <w:szCs w:val="20"/>
              </w:rPr>
              <w:t>x</w:t>
            </w:r>
            <w:r w:rsidRPr="00975109">
              <w:rPr>
                <w:rFonts w:eastAsia="Calibri"/>
                <w:color w:val="000000"/>
                <w:sz w:val="20"/>
                <w:szCs w:val="20"/>
                <w:vertAlign w:val="subscript"/>
              </w:rPr>
              <w:t>1</w:t>
            </w:r>
            <w:r w:rsidRPr="00975109">
              <w:rPr>
                <w:rFonts w:eastAsia="Calibri"/>
                <w:color w:val="000000"/>
                <w:sz w:val="20"/>
                <w:szCs w:val="20"/>
              </w:rPr>
              <w:tab/>
              <w:t xml:space="preserve"> </w:t>
            </w:r>
          </w:p>
        </w:tc>
        <w:tc>
          <w:tcPr>
            <w:tcW w:w="3213" w:type="dxa"/>
            <w:tcBorders>
              <w:top w:val="nil"/>
              <w:left w:val="nil"/>
              <w:bottom w:val="nil"/>
              <w:right w:val="nil"/>
            </w:tcBorders>
            <w:vAlign w:val="center"/>
          </w:tcPr>
          <w:p w14:paraId="61B2981D" w14:textId="2FCF8930" w:rsidR="00975109" w:rsidRPr="00975109" w:rsidRDefault="00975109" w:rsidP="00975109">
            <w:pPr>
              <w:jc w:val="both"/>
              <w:rPr>
                <w:rFonts w:eastAsia="Calibri"/>
                <w:color w:val="000000"/>
                <w:sz w:val="20"/>
                <w:szCs w:val="20"/>
              </w:rPr>
            </w:pPr>
            <w:r w:rsidRPr="00975109">
              <w:rPr>
                <w:rFonts w:eastAsia="Calibri"/>
                <w:color w:val="000000"/>
                <w:sz w:val="20"/>
                <w:szCs w:val="20"/>
              </w:rPr>
              <w:t xml:space="preserve"> = </w:t>
            </w:r>
            <w:proofErr w:type="spellStart"/>
            <w:r w:rsidRPr="00975109">
              <w:rPr>
                <w:rFonts w:eastAsia="Calibri"/>
                <w:iCs/>
                <w:color w:val="0D0D0D"/>
                <w:sz w:val="20"/>
                <w:szCs w:val="20"/>
              </w:rPr>
              <w:t>Li</w:t>
            </w:r>
            <w:r>
              <w:rPr>
                <w:rFonts w:eastAsia="Calibri"/>
                <w:iCs/>
                <w:color w:val="0D0D0D"/>
                <w:sz w:val="20"/>
                <w:szCs w:val="20"/>
              </w:rPr>
              <w:t>quidity</w:t>
            </w:r>
            <w:proofErr w:type="spellEnd"/>
          </w:p>
        </w:tc>
      </w:tr>
      <w:tr w:rsidR="00975109" w:rsidRPr="00975109" w14:paraId="772D27EF" w14:textId="77777777" w:rsidTr="00975109">
        <w:trPr>
          <w:trHeight w:val="388"/>
        </w:trPr>
        <w:tc>
          <w:tcPr>
            <w:tcW w:w="970" w:type="dxa"/>
            <w:tcBorders>
              <w:top w:val="nil"/>
              <w:left w:val="nil"/>
              <w:bottom w:val="nil"/>
              <w:right w:val="nil"/>
            </w:tcBorders>
            <w:vAlign w:val="center"/>
          </w:tcPr>
          <w:p w14:paraId="75AD913E" w14:textId="77777777" w:rsidR="00975109" w:rsidRPr="00975109" w:rsidRDefault="00975109" w:rsidP="00975109">
            <w:pPr>
              <w:tabs>
                <w:tab w:val="center" w:pos="720"/>
              </w:tabs>
              <w:jc w:val="both"/>
              <w:rPr>
                <w:rFonts w:eastAsia="Calibri"/>
                <w:color w:val="000000"/>
                <w:sz w:val="20"/>
                <w:szCs w:val="20"/>
              </w:rPr>
            </w:pPr>
            <w:r w:rsidRPr="00975109">
              <w:rPr>
                <w:rFonts w:eastAsia="Calibri"/>
                <w:color w:val="000000"/>
                <w:sz w:val="20"/>
                <w:szCs w:val="20"/>
              </w:rPr>
              <w:t>x</w:t>
            </w:r>
            <w:r w:rsidRPr="00975109">
              <w:rPr>
                <w:rFonts w:eastAsia="Calibri"/>
                <w:color w:val="000000"/>
                <w:sz w:val="20"/>
                <w:szCs w:val="20"/>
                <w:vertAlign w:val="subscript"/>
              </w:rPr>
              <w:t>2</w:t>
            </w:r>
            <w:r w:rsidRPr="00975109">
              <w:rPr>
                <w:rFonts w:eastAsia="Calibri"/>
                <w:color w:val="000000"/>
                <w:sz w:val="20"/>
                <w:szCs w:val="20"/>
              </w:rPr>
              <w:tab/>
              <w:t xml:space="preserve"> </w:t>
            </w:r>
          </w:p>
        </w:tc>
        <w:tc>
          <w:tcPr>
            <w:tcW w:w="3213" w:type="dxa"/>
            <w:tcBorders>
              <w:top w:val="nil"/>
              <w:left w:val="nil"/>
              <w:bottom w:val="nil"/>
              <w:right w:val="nil"/>
            </w:tcBorders>
            <w:vAlign w:val="center"/>
          </w:tcPr>
          <w:p w14:paraId="1EA9E7C5" w14:textId="4B0955CC" w:rsidR="00975109" w:rsidRPr="00975109" w:rsidRDefault="00975109" w:rsidP="00975109">
            <w:pPr>
              <w:jc w:val="both"/>
              <w:rPr>
                <w:rFonts w:eastAsia="Calibri"/>
                <w:color w:val="000000"/>
                <w:sz w:val="20"/>
                <w:szCs w:val="20"/>
              </w:rPr>
            </w:pPr>
            <w:r w:rsidRPr="00975109">
              <w:rPr>
                <w:rFonts w:eastAsia="Calibri"/>
                <w:color w:val="000000"/>
                <w:sz w:val="20"/>
                <w:szCs w:val="20"/>
              </w:rPr>
              <w:t xml:space="preserve">= </w:t>
            </w:r>
            <w:proofErr w:type="spellStart"/>
            <w:r w:rsidRPr="00975109">
              <w:rPr>
                <w:rFonts w:eastAsia="Calibri"/>
                <w:color w:val="000000"/>
                <w:sz w:val="20"/>
                <w:szCs w:val="20"/>
              </w:rPr>
              <w:t>Profitabilit</w:t>
            </w:r>
            <w:r>
              <w:rPr>
                <w:rFonts w:eastAsia="Calibri"/>
                <w:color w:val="000000"/>
                <w:sz w:val="20"/>
                <w:szCs w:val="20"/>
              </w:rPr>
              <w:t>y</w:t>
            </w:r>
            <w:proofErr w:type="spellEnd"/>
          </w:p>
        </w:tc>
      </w:tr>
      <w:tr w:rsidR="00975109" w:rsidRPr="00975109" w14:paraId="52CE9219" w14:textId="77777777" w:rsidTr="00975109">
        <w:trPr>
          <w:trHeight w:val="388"/>
        </w:trPr>
        <w:tc>
          <w:tcPr>
            <w:tcW w:w="970" w:type="dxa"/>
            <w:tcBorders>
              <w:top w:val="nil"/>
              <w:left w:val="nil"/>
              <w:bottom w:val="nil"/>
              <w:right w:val="nil"/>
            </w:tcBorders>
            <w:vAlign w:val="center"/>
          </w:tcPr>
          <w:p w14:paraId="1A6204F2" w14:textId="77777777" w:rsidR="00975109" w:rsidRPr="00975109" w:rsidRDefault="00975109" w:rsidP="00975109">
            <w:pPr>
              <w:tabs>
                <w:tab w:val="center" w:pos="720"/>
              </w:tabs>
              <w:jc w:val="both"/>
              <w:rPr>
                <w:rFonts w:eastAsia="Calibri"/>
                <w:color w:val="000000"/>
                <w:sz w:val="20"/>
                <w:szCs w:val="20"/>
              </w:rPr>
            </w:pPr>
            <w:r w:rsidRPr="00975109">
              <w:rPr>
                <w:rFonts w:eastAsia="Calibri"/>
                <w:color w:val="000000"/>
                <w:sz w:val="20"/>
                <w:szCs w:val="20"/>
              </w:rPr>
              <w:t>x</w:t>
            </w:r>
            <w:r w:rsidRPr="00975109">
              <w:rPr>
                <w:rFonts w:eastAsia="Calibri"/>
                <w:color w:val="000000"/>
                <w:sz w:val="20"/>
                <w:szCs w:val="20"/>
                <w:vertAlign w:val="subscript"/>
              </w:rPr>
              <w:t>3</w:t>
            </w:r>
          </w:p>
        </w:tc>
        <w:tc>
          <w:tcPr>
            <w:tcW w:w="3213" w:type="dxa"/>
            <w:tcBorders>
              <w:top w:val="nil"/>
              <w:left w:val="nil"/>
              <w:bottom w:val="nil"/>
              <w:right w:val="nil"/>
            </w:tcBorders>
            <w:vAlign w:val="center"/>
          </w:tcPr>
          <w:p w14:paraId="3D647AFA" w14:textId="41C8C88F" w:rsidR="00975109" w:rsidRPr="00975109" w:rsidRDefault="00975109" w:rsidP="00975109">
            <w:pPr>
              <w:jc w:val="both"/>
              <w:rPr>
                <w:rFonts w:eastAsia="Calibri"/>
                <w:color w:val="000000"/>
                <w:sz w:val="20"/>
                <w:szCs w:val="20"/>
              </w:rPr>
            </w:pPr>
            <w:r w:rsidRPr="00975109">
              <w:rPr>
                <w:rFonts w:eastAsia="Calibri"/>
                <w:color w:val="000000"/>
                <w:sz w:val="20"/>
                <w:szCs w:val="20"/>
              </w:rPr>
              <w:t xml:space="preserve">= </w:t>
            </w:r>
            <w:proofErr w:type="spellStart"/>
            <w:r w:rsidRPr="00975109">
              <w:rPr>
                <w:rFonts w:eastAsia="Calibri"/>
                <w:color w:val="000000"/>
                <w:sz w:val="20"/>
                <w:szCs w:val="20"/>
              </w:rPr>
              <w:t>Solvabilit</w:t>
            </w:r>
            <w:r>
              <w:rPr>
                <w:rFonts w:eastAsia="Calibri"/>
                <w:color w:val="000000"/>
                <w:sz w:val="20"/>
                <w:szCs w:val="20"/>
              </w:rPr>
              <w:t>y</w:t>
            </w:r>
            <w:proofErr w:type="spellEnd"/>
          </w:p>
        </w:tc>
      </w:tr>
      <w:tr w:rsidR="00975109" w:rsidRPr="00975109" w14:paraId="07B43418" w14:textId="77777777" w:rsidTr="00975109">
        <w:trPr>
          <w:trHeight w:val="285"/>
        </w:trPr>
        <w:tc>
          <w:tcPr>
            <w:tcW w:w="970" w:type="dxa"/>
            <w:tcBorders>
              <w:top w:val="nil"/>
              <w:left w:val="nil"/>
              <w:bottom w:val="nil"/>
              <w:right w:val="nil"/>
            </w:tcBorders>
            <w:vAlign w:val="bottom"/>
          </w:tcPr>
          <w:p w14:paraId="59C7BBA5" w14:textId="77777777" w:rsidR="00975109" w:rsidRPr="00975109" w:rsidRDefault="00975109" w:rsidP="00975109">
            <w:pPr>
              <w:tabs>
                <w:tab w:val="center" w:pos="720"/>
              </w:tabs>
              <w:jc w:val="both"/>
              <w:rPr>
                <w:rFonts w:eastAsia="Calibri"/>
                <w:color w:val="000000"/>
                <w:sz w:val="20"/>
                <w:szCs w:val="20"/>
              </w:rPr>
            </w:pPr>
            <m:oMath>
              <m:r>
                <m:rPr>
                  <m:sty m:val="bi"/>
                </m:rPr>
                <w:rPr>
                  <w:rFonts w:ascii="Cambria Math" w:eastAsia="Calibri" w:hAnsi="Cambria Math"/>
                  <w:color w:val="000000"/>
                  <w:sz w:val="20"/>
                  <w:szCs w:val="20"/>
                </w:rPr>
                <m:t>e</m:t>
              </m:r>
            </m:oMath>
            <w:r w:rsidRPr="00975109">
              <w:rPr>
                <w:rFonts w:eastAsia="Calibri"/>
                <w:color w:val="000000"/>
                <w:sz w:val="20"/>
                <w:szCs w:val="20"/>
              </w:rPr>
              <w:tab/>
              <w:t xml:space="preserve"> </w:t>
            </w:r>
          </w:p>
        </w:tc>
        <w:tc>
          <w:tcPr>
            <w:tcW w:w="3213" w:type="dxa"/>
            <w:tcBorders>
              <w:top w:val="nil"/>
              <w:left w:val="nil"/>
              <w:bottom w:val="nil"/>
              <w:right w:val="nil"/>
            </w:tcBorders>
            <w:vAlign w:val="bottom"/>
          </w:tcPr>
          <w:p w14:paraId="5E769EBA" w14:textId="3910EE30" w:rsidR="00975109" w:rsidRPr="00975109" w:rsidRDefault="00975109" w:rsidP="00975109">
            <w:pPr>
              <w:jc w:val="both"/>
              <w:rPr>
                <w:rFonts w:eastAsia="Calibri"/>
                <w:color w:val="000000"/>
                <w:sz w:val="20"/>
                <w:szCs w:val="20"/>
              </w:rPr>
            </w:pPr>
            <w:r w:rsidRPr="00975109">
              <w:rPr>
                <w:rFonts w:eastAsia="Calibri"/>
                <w:color w:val="000000"/>
                <w:sz w:val="20"/>
                <w:szCs w:val="20"/>
              </w:rPr>
              <w:t xml:space="preserve">= </w:t>
            </w:r>
            <w:r w:rsidRPr="00975109">
              <w:rPr>
                <w:rFonts w:eastAsia="Calibri"/>
                <w:i/>
                <w:color w:val="000000"/>
                <w:sz w:val="20"/>
                <w:szCs w:val="20"/>
              </w:rPr>
              <w:t xml:space="preserve">Standar </w:t>
            </w:r>
            <w:proofErr w:type="spellStart"/>
            <w:r w:rsidRPr="00975109">
              <w:rPr>
                <w:rFonts w:eastAsia="Calibri"/>
                <w:i/>
                <w:color w:val="000000"/>
                <w:sz w:val="20"/>
                <w:szCs w:val="20"/>
              </w:rPr>
              <w:t>error</w:t>
            </w:r>
            <w:proofErr w:type="spellEnd"/>
          </w:p>
        </w:tc>
      </w:tr>
    </w:tbl>
    <w:p w14:paraId="4BDC52C0" w14:textId="1D7A9398" w:rsidR="00975109" w:rsidRDefault="00975109" w:rsidP="00C40A65">
      <w:pPr>
        <w:pStyle w:val="BodyText"/>
        <w:ind w:firstLine="720"/>
        <w:jc w:val="both"/>
      </w:pPr>
    </w:p>
    <w:p w14:paraId="027CF867" w14:textId="77777777" w:rsidR="0059259C" w:rsidRPr="001B5598" w:rsidRDefault="0059259C" w:rsidP="00C40A65">
      <w:pPr>
        <w:pStyle w:val="BodyText"/>
        <w:ind w:firstLine="720"/>
        <w:jc w:val="both"/>
      </w:pPr>
    </w:p>
    <w:p w14:paraId="6E76B5B6" w14:textId="77777777" w:rsidR="00C40A65" w:rsidRPr="00370373" w:rsidRDefault="00E45AAD" w:rsidP="00C40A65">
      <w:pPr>
        <w:pStyle w:val="Heading1"/>
        <w:ind w:left="0" w:right="853"/>
        <w:jc w:val="left"/>
      </w:pPr>
      <w:r>
        <w:t>4,</w:t>
      </w:r>
      <w:r>
        <w:tab/>
      </w:r>
      <w:r w:rsidR="00C40A65" w:rsidRPr="00370373">
        <w:t>RESEARCH RESULTS AND DISCUSSION</w:t>
      </w:r>
    </w:p>
    <w:p w14:paraId="5B25F5A3" w14:textId="77777777" w:rsidR="00C40A65" w:rsidRPr="00370373" w:rsidRDefault="00C40A65" w:rsidP="00C40A65">
      <w:pPr>
        <w:pStyle w:val="Heading1"/>
        <w:ind w:left="0" w:right="1809"/>
        <w:jc w:val="left"/>
      </w:pPr>
      <w:r w:rsidRPr="00370373">
        <w:t>Descriptive Statistical Analysis</w:t>
      </w:r>
    </w:p>
    <w:p w14:paraId="5A4D450E" w14:textId="77777777" w:rsidR="001B5598" w:rsidRPr="00AA13B6" w:rsidRDefault="001B5598" w:rsidP="00C40A65">
      <w:pPr>
        <w:pStyle w:val="Heading1"/>
        <w:ind w:left="0" w:right="1809"/>
        <w:jc w:val="left"/>
        <w:rPr>
          <w:color w:val="FF0000"/>
        </w:rPr>
      </w:pPr>
    </w:p>
    <w:p w14:paraId="3AD8D408" w14:textId="59AFA1E1" w:rsidR="00E03E2A" w:rsidRDefault="00E03E2A" w:rsidP="00C40A65">
      <w:pPr>
        <w:pStyle w:val="BodyText"/>
        <w:jc w:val="both"/>
      </w:pPr>
    </w:p>
    <w:p w14:paraId="0F52B57C" w14:textId="1E3439E2" w:rsidR="004F3885" w:rsidRPr="004F3885" w:rsidRDefault="004F3885" w:rsidP="004F3885">
      <w:pPr>
        <w:pStyle w:val="BodyText"/>
        <w:ind w:firstLine="720"/>
        <w:jc w:val="both"/>
        <w:rPr>
          <w:color w:val="202124"/>
          <w:lang w:val="en" w:eastAsia="id-ID"/>
        </w:rPr>
      </w:pPr>
      <w:r w:rsidRPr="004F3885">
        <w:rPr>
          <w:color w:val="202124"/>
          <w:lang w:val="en" w:eastAsia="id-ID"/>
        </w:rPr>
        <w:t>Research Results Analysis</w:t>
      </w:r>
      <w:r>
        <w:rPr>
          <w:color w:val="202124"/>
          <w:lang w:eastAsia="id-ID"/>
        </w:rPr>
        <w:t xml:space="preserve"> </w:t>
      </w:r>
      <w:r w:rsidRPr="004F3885">
        <w:rPr>
          <w:color w:val="202124"/>
          <w:lang w:val="en" w:eastAsia="id-ID"/>
        </w:rPr>
        <w:t>In this study, descriptive analysis was carried out to provide an overview or description of a data seen from the average (mean), standard deviation, maximum, and minimum. The complete description of statistical data is presented in the following table:</w:t>
      </w:r>
    </w:p>
    <w:p w14:paraId="41E216AB" w14:textId="198C8779" w:rsidR="004F3885" w:rsidRDefault="004F3885" w:rsidP="00C40A65">
      <w:pPr>
        <w:pStyle w:val="BodyText"/>
        <w:jc w:val="both"/>
      </w:pPr>
    </w:p>
    <w:p w14:paraId="0066FD7B" w14:textId="77777777" w:rsidR="00370373" w:rsidRPr="00370373" w:rsidRDefault="00370373" w:rsidP="00370373">
      <w:pPr>
        <w:ind w:firstLine="720"/>
        <w:jc w:val="center"/>
        <w:rPr>
          <w:b/>
          <w:sz w:val="20"/>
          <w:szCs w:val="20"/>
        </w:rPr>
      </w:pPr>
      <w:r w:rsidRPr="00370373">
        <w:rPr>
          <w:b/>
          <w:sz w:val="20"/>
          <w:szCs w:val="20"/>
        </w:rPr>
        <w:t>Tabel 4.1</w:t>
      </w:r>
    </w:p>
    <w:p w14:paraId="0A17070B" w14:textId="77777777" w:rsidR="00370373" w:rsidRPr="00370373" w:rsidRDefault="00370373" w:rsidP="00370373">
      <w:pPr>
        <w:ind w:firstLine="720"/>
        <w:jc w:val="center"/>
        <w:rPr>
          <w:b/>
          <w:sz w:val="20"/>
          <w:szCs w:val="20"/>
        </w:rPr>
      </w:pPr>
      <w:r w:rsidRPr="00370373">
        <w:rPr>
          <w:b/>
          <w:sz w:val="20"/>
          <w:szCs w:val="20"/>
        </w:rPr>
        <w:t>Statistik Deskriptif (X)</w:t>
      </w:r>
    </w:p>
    <w:tbl>
      <w:tblPr>
        <w:tblStyle w:val="TableGrid6"/>
        <w:tblW w:w="3203" w:type="pct"/>
        <w:jc w:val="center"/>
        <w:tblLayout w:type="fixed"/>
        <w:tblLook w:val="0000" w:firstRow="0" w:lastRow="0" w:firstColumn="0" w:lastColumn="0" w:noHBand="0" w:noVBand="0"/>
      </w:tblPr>
      <w:tblGrid>
        <w:gridCol w:w="1525"/>
        <w:gridCol w:w="613"/>
        <w:gridCol w:w="835"/>
        <w:gridCol w:w="790"/>
        <w:gridCol w:w="886"/>
        <w:gridCol w:w="1129"/>
      </w:tblGrid>
      <w:tr w:rsidR="00370373" w:rsidRPr="00036A76" w14:paraId="794AB76D" w14:textId="77777777" w:rsidTr="00E77270">
        <w:trPr>
          <w:trHeight w:val="236"/>
          <w:jc w:val="center"/>
        </w:trPr>
        <w:tc>
          <w:tcPr>
            <w:tcW w:w="1319" w:type="pct"/>
            <w:shd w:val="clear" w:color="auto" w:fill="auto"/>
          </w:tcPr>
          <w:p w14:paraId="3075DCAF" w14:textId="77777777" w:rsidR="00370373" w:rsidRPr="00036A76" w:rsidRDefault="00370373" w:rsidP="00E77270">
            <w:pPr>
              <w:adjustRightInd w:val="0"/>
              <w:jc w:val="center"/>
              <w:rPr>
                <w:rFonts w:ascii="Arial" w:eastAsia="Calibri" w:hAnsi="Arial" w:cs="Arial"/>
                <w:b/>
                <w:color w:val="000000"/>
                <w:sz w:val="14"/>
                <w:szCs w:val="16"/>
              </w:rPr>
            </w:pPr>
            <w:proofErr w:type="spellStart"/>
            <w:r w:rsidRPr="00036A76">
              <w:rPr>
                <w:rFonts w:ascii="Arial" w:eastAsia="Calibri" w:hAnsi="Arial" w:cs="Arial"/>
                <w:b/>
                <w:color w:val="000000"/>
                <w:sz w:val="14"/>
                <w:szCs w:val="16"/>
              </w:rPr>
              <w:t>Variabel</w:t>
            </w:r>
            <w:proofErr w:type="spellEnd"/>
          </w:p>
        </w:tc>
        <w:tc>
          <w:tcPr>
            <w:tcW w:w="530" w:type="pct"/>
            <w:shd w:val="clear" w:color="auto" w:fill="auto"/>
          </w:tcPr>
          <w:p w14:paraId="349FE375" w14:textId="77777777" w:rsidR="00370373" w:rsidRPr="00036A76" w:rsidRDefault="00370373" w:rsidP="00E77270">
            <w:pPr>
              <w:adjustRightInd w:val="0"/>
              <w:ind w:left="60" w:right="60"/>
              <w:jc w:val="center"/>
              <w:rPr>
                <w:rFonts w:ascii="Arial" w:eastAsia="Calibri" w:hAnsi="Arial" w:cs="Arial"/>
                <w:b/>
                <w:color w:val="000000"/>
                <w:sz w:val="14"/>
                <w:szCs w:val="16"/>
              </w:rPr>
            </w:pPr>
            <w:r w:rsidRPr="00036A76">
              <w:rPr>
                <w:rFonts w:ascii="Arial" w:eastAsia="Calibri" w:hAnsi="Arial" w:cs="Arial"/>
                <w:b/>
                <w:color w:val="000000"/>
                <w:sz w:val="14"/>
                <w:szCs w:val="16"/>
              </w:rPr>
              <w:t>N</w:t>
            </w:r>
          </w:p>
        </w:tc>
        <w:tc>
          <w:tcPr>
            <w:tcW w:w="722" w:type="pct"/>
            <w:shd w:val="clear" w:color="auto" w:fill="auto"/>
          </w:tcPr>
          <w:p w14:paraId="74E5CB71" w14:textId="77777777" w:rsidR="00370373" w:rsidRPr="00036A76" w:rsidRDefault="00370373" w:rsidP="00E77270">
            <w:pPr>
              <w:adjustRightInd w:val="0"/>
              <w:ind w:right="60"/>
              <w:rPr>
                <w:rFonts w:ascii="Arial" w:eastAsia="Calibri" w:hAnsi="Arial" w:cs="Arial"/>
                <w:b/>
                <w:color w:val="000000"/>
                <w:sz w:val="14"/>
                <w:szCs w:val="16"/>
              </w:rPr>
            </w:pPr>
            <w:r w:rsidRPr="00036A76">
              <w:rPr>
                <w:rFonts w:ascii="Arial" w:eastAsia="Calibri" w:hAnsi="Arial" w:cs="Arial"/>
                <w:b/>
                <w:color w:val="000000"/>
                <w:sz w:val="14"/>
                <w:szCs w:val="16"/>
              </w:rPr>
              <w:t>Max</w:t>
            </w:r>
          </w:p>
        </w:tc>
        <w:tc>
          <w:tcPr>
            <w:tcW w:w="684" w:type="pct"/>
            <w:shd w:val="clear" w:color="auto" w:fill="auto"/>
          </w:tcPr>
          <w:p w14:paraId="2EBA9EA2" w14:textId="77777777" w:rsidR="00370373" w:rsidRPr="00036A76" w:rsidRDefault="00370373" w:rsidP="00E77270">
            <w:pPr>
              <w:adjustRightInd w:val="0"/>
              <w:ind w:right="60"/>
              <w:rPr>
                <w:rFonts w:ascii="Arial" w:eastAsia="Calibri" w:hAnsi="Arial" w:cs="Arial"/>
                <w:b/>
                <w:color w:val="000000"/>
                <w:sz w:val="14"/>
                <w:szCs w:val="16"/>
              </w:rPr>
            </w:pPr>
            <w:r w:rsidRPr="00036A76">
              <w:rPr>
                <w:rFonts w:ascii="Arial" w:eastAsia="Calibri" w:hAnsi="Arial" w:cs="Arial"/>
                <w:b/>
                <w:color w:val="000000"/>
                <w:sz w:val="14"/>
                <w:szCs w:val="16"/>
              </w:rPr>
              <w:t>Min</w:t>
            </w:r>
          </w:p>
        </w:tc>
        <w:tc>
          <w:tcPr>
            <w:tcW w:w="767" w:type="pct"/>
            <w:shd w:val="clear" w:color="auto" w:fill="auto"/>
          </w:tcPr>
          <w:p w14:paraId="4864705D" w14:textId="77777777" w:rsidR="00370373" w:rsidRPr="00036A76" w:rsidRDefault="00370373" w:rsidP="00E77270">
            <w:pPr>
              <w:adjustRightInd w:val="0"/>
              <w:ind w:left="60" w:right="60"/>
              <w:jc w:val="center"/>
              <w:rPr>
                <w:rFonts w:ascii="Arial" w:eastAsia="Calibri" w:hAnsi="Arial" w:cs="Arial"/>
                <w:b/>
                <w:color w:val="000000"/>
                <w:sz w:val="14"/>
                <w:szCs w:val="16"/>
              </w:rPr>
            </w:pPr>
            <w:r w:rsidRPr="00036A76">
              <w:rPr>
                <w:rFonts w:ascii="Arial" w:eastAsia="Calibri" w:hAnsi="Arial" w:cs="Arial"/>
                <w:b/>
                <w:color w:val="000000"/>
                <w:sz w:val="14"/>
                <w:szCs w:val="16"/>
              </w:rPr>
              <w:t>Mean</w:t>
            </w:r>
          </w:p>
        </w:tc>
        <w:tc>
          <w:tcPr>
            <w:tcW w:w="977" w:type="pct"/>
            <w:shd w:val="clear" w:color="auto" w:fill="auto"/>
          </w:tcPr>
          <w:p w14:paraId="50376C83" w14:textId="77777777" w:rsidR="00370373" w:rsidRPr="00036A76" w:rsidRDefault="00370373" w:rsidP="00E77270">
            <w:pPr>
              <w:adjustRightInd w:val="0"/>
              <w:ind w:left="60" w:right="60"/>
              <w:jc w:val="center"/>
              <w:rPr>
                <w:rFonts w:ascii="Arial" w:eastAsia="Calibri" w:hAnsi="Arial" w:cs="Arial"/>
                <w:b/>
                <w:color w:val="000000"/>
                <w:sz w:val="14"/>
                <w:szCs w:val="16"/>
              </w:rPr>
            </w:pPr>
            <w:r w:rsidRPr="00036A76">
              <w:rPr>
                <w:rFonts w:ascii="Arial" w:eastAsia="Calibri" w:hAnsi="Arial" w:cs="Arial"/>
                <w:b/>
                <w:color w:val="000000"/>
                <w:sz w:val="14"/>
                <w:szCs w:val="16"/>
              </w:rPr>
              <w:t>Std. Deviation</w:t>
            </w:r>
          </w:p>
        </w:tc>
      </w:tr>
      <w:tr w:rsidR="00370373" w:rsidRPr="00036A76" w14:paraId="2FBF1B22" w14:textId="77777777" w:rsidTr="00E77270">
        <w:trPr>
          <w:trHeight w:val="260"/>
          <w:jc w:val="center"/>
        </w:trPr>
        <w:tc>
          <w:tcPr>
            <w:tcW w:w="1319" w:type="pct"/>
            <w:shd w:val="clear" w:color="auto" w:fill="auto"/>
          </w:tcPr>
          <w:p w14:paraId="426BC8A2" w14:textId="77777777" w:rsidR="00370373" w:rsidRPr="00036A76" w:rsidRDefault="00370373" w:rsidP="00E77270">
            <w:pPr>
              <w:adjustRightInd w:val="0"/>
              <w:ind w:left="60" w:right="60"/>
              <w:rPr>
                <w:rFonts w:ascii="Arial" w:eastAsia="Calibri" w:hAnsi="Arial" w:cs="Arial"/>
                <w:b/>
                <w:color w:val="000000"/>
                <w:sz w:val="14"/>
                <w:szCs w:val="16"/>
              </w:rPr>
            </w:pPr>
            <w:proofErr w:type="spellStart"/>
            <w:r w:rsidRPr="00036A76">
              <w:rPr>
                <w:rFonts w:ascii="Arial" w:eastAsia="Calibri" w:hAnsi="Arial" w:cs="Arial"/>
                <w:b/>
                <w:color w:val="000000"/>
                <w:sz w:val="14"/>
                <w:szCs w:val="16"/>
              </w:rPr>
              <w:t>Likuiditas</w:t>
            </w:r>
            <w:proofErr w:type="spellEnd"/>
          </w:p>
        </w:tc>
        <w:tc>
          <w:tcPr>
            <w:tcW w:w="530" w:type="pct"/>
            <w:shd w:val="clear" w:color="auto" w:fill="auto"/>
          </w:tcPr>
          <w:p w14:paraId="3BFCC864"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48</w:t>
            </w:r>
          </w:p>
        </w:tc>
        <w:tc>
          <w:tcPr>
            <w:tcW w:w="722" w:type="pct"/>
            <w:shd w:val="clear" w:color="auto" w:fill="auto"/>
          </w:tcPr>
          <w:p w14:paraId="6BA0807D"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.05</w:t>
            </w:r>
          </w:p>
        </w:tc>
        <w:tc>
          <w:tcPr>
            <w:tcW w:w="684" w:type="pct"/>
            <w:shd w:val="clear" w:color="auto" w:fill="auto"/>
          </w:tcPr>
          <w:p w14:paraId="076E254A"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14.03</w:t>
            </w:r>
          </w:p>
        </w:tc>
        <w:tc>
          <w:tcPr>
            <w:tcW w:w="767" w:type="pct"/>
            <w:shd w:val="clear" w:color="auto" w:fill="auto"/>
          </w:tcPr>
          <w:p w14:paraId="27992E53"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2.4440</w:t>
            </w:r>
          </w:p>
        </w:tc>
        <w:tc>
          <w:tcPr>
            <w:tcW w:w="977" w:type="pct"/>
            <w:shd w:val="clear" w:color="auto" w:fill="auto"/>
          </w:tcPr>
          <w:p w14:paraId="3A92E099"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3.27927</w:t>
            </w:r>
          </w:p>
        </w:tc>
      </w:tr>
      <w:tr w:rsidR="00370373" w:rsidRPr="00036A76" w14:paraId="2DBDF5E1" w14:textId="77777777" w:rsidTr="00E77270">
        <w:trPr>
          <w:trHeight w:val="236"/>
          <w:jc w:val="center"/>
        </w:trPr>
        <w:tc>
          <w:tcPr>
            <w:tcW w:w="1319" w:type="pct"/>
            <w:shd w:val="clear" w:color="auto" w:fill="auto"/>
          </w:tcPr>
          <w:p w14:paraId="5180C11D" w14:textId="77777777" w:rsidR="00370373" w:rsidRPr="00036A76" w:rsidRDefault="00370373" w:rsidP="00E77270">
            <w:pPr>
              <w:adjustRightInd w:val="0"/>
              <w:ind w:left="60" w:right="60"/>
              <w:rPr>
                <w:rFonts w:ascii="Arial" w:eastAsia="Calibri" w:hAnsi="Arial" w:cs="Arial"/>
                <w:b/>
                <w:color w:val="000000"/>
                <w:sz w:val="14"/>
                <w:szCs w:val="16"/>
              </w:rPr>
            </w:pPr>
            <w:proofErr w:type="spellStart"/>
            <w:r w:rsidRPr="00036A76">
              <w:rPr>
                <w:rFonts w:ascii="Arial" w:eastAsia="Calibri" w:hAnsi="Arial" w:cs="Arial"/>
                <w:b/>
                <w:color w:val="000000"/>
                <w:sz w:val="14"/>
                <w:szCs w:val="16"/>
              </w:rPr>
              <w:t>Profitabilitas</w:t>
            </w:r>
            <w:proofErr w:type="spellEnd"/>
          </w:p>
        </w:tc>
        <w:tc>
          <w:tcPr>
            <w:tcW w:w="530" w:type="pct"/>
            <w:shd w:val="clear" w:color="auto" w:fill="auto"/>
          </w:tcPr>
          <w:p w14:paraId="537D669A"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48</w:t>
            </w:r>
          </w:p>
        </w:tc>
        <w:tc>
          <w:tcPr>
            <w:tcW w:w="722" w:type="pct"/>
            <w:shd w:val="clear" w:color="auto" w:fill="auto"/>
          </w:tcPr>
          <w:p w14:paraId="0CD5FF76"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-10.74</w:t>
            </w:r>
          </w:p>
        </w:tc>
        <w:tc>
          <w:tcPr>
            <w:tcW w:w="684" w:type="pct"/>
            <w:shd w:val="clear" w:color="auto" w:fill="auto"/>
          </w:tcPr>
          <w:p w14:paraId="08B5F95C"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.10</w:t>
            </w:r>
          </w:p>
        </w:tc>
        <w:tc>
          <w:tcPr>
            <w:tcW w:w="767" w:type="pct"/>
            <w:shd w:val="clear" w:color="auto" w:fill="auto"/>
          </w:tcPr>
          <w:p w14:paraId="482BE755"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-.5080</w:t>
            </w:r>
          </w:p>
        </w:tc>
        <w:tc>
          <w:tcPr>
            <w:tcW w:w="977" w:type="pct"/>
            <w:shd w:val="clear" w:color="auto" w:fill="auto"/>
          </w:tcPr>
          <w:p w14:paraId="57568876"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2.01436</w:t>
            </w:r>
          </w:p>
        </w:tc>
      </w:tr>
      <w:tr w:rsidR="00370373" w:rsidRPr="00036A76" w14:paraId="57C811AF" w14:textId="77777777" w:rsidTr="00E77270">
        <w:trPr>
          <w:trHeight w:val="260"/>
          <w:jc w:val="center"/>
        </w:trPr>
        <w:tc>
          <w:tcPr>
            <w:tcW w:w="1319" w:type="pct"/>
            <w:shd w:val="clear" w:color="auto" w:fill="auto"/>
          </w:tcPr>
          <w:p w14:paraId="6B8E7880" w14:textId="77777777" w:rsidR="00370373" w:rsidRPr="00036A76" w:rsidRDefault="00370373" w:rsidP="00E77270">
            <w:pPr>
              <w:adjustRightInd w:val="0"/>
              <w:ind w:left="60" w:right="60"/>
              <w:rPr>
                <w:rFonts w:ascii="Arial" w:eastAsia="Calibri" w:hAnsi="Arial" w:cs="Arial"/>
                <w:b/>
                <w:color w:val="000000"/>
                <w:sz w:val="14"/>
                <w:szCs w:val="16"/>
              </w:rPr>
            </w:pPr>
            <w:proofErr w:type="spellStart"/>
            <w:r w:rsidRPr="00036A76">
              <w:rPr>
                <w:rFonts w:ascii="Arial" w:eastAsia="Calibri" w:hAnsi="Arial" w:cs="Arial"/>
                <w:b/>
                <w:color w:val="000000"/>
                <w:sz w:val="14"/>
                <w:szCs w:val="16"/>
              </w:rPr>
              <w:t>Solvabilitas</w:t>
            </w:r>
            <w:proofErr w:type="spellEnd"/>
          </w:p>
        </w:tc>
        <w:tc>
          <w:tcPr>
            <w:tcW w:w="530" w:type="pct"/>
            <w:shd w:val="clear" w:color="auto" w:fill="auto"/>
          </w:tcPr>
          <w:p w14:paraId="53B1B671"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48</w:t>
            </w:r>
          </w:p>
        </w:tc>
        <w:tc>
          <w:tcPr>
            <w:tcW w:w="722" w:type="pct"/>
            <w:shd w:val="clear" w:color="auto" w:fill="auto"/>
          </w:tcPr>
          <w:p w14:paraId="63B0F546"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.07</w:t>
            </w:r>
          </w:p>
        </w:tc>
        <w:tc>
          <w:tcPr>
            <w:tcW w:w="684" w:type="pct"/>
            <w:shd w:val="clear" w:color="auto" w:fill="auto"/>
          </w:tcPr>
          <w:p w14:paraId="16BE71AC"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19.89</w:t>
            </w:r>
          </w:p>
        </w:tc>
        <w:tc>
          <w:tcPr>
            <w:tcW w:w="767" w:type="pct"/>
            <w:shd w:val="clear" w:color="auto" w:fill="auto"/>
          </w:tcPr>
          <w:p w14:paraId="231B94E6"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2.6148</w:t>
            </w:r>
          </w:p>
        </w:tc>
        <w:tc>
          <w:tcPr>
            <w:tcW w:w="977" w:type="pct"/>
            <w:shd w:val="clear" w:color="auto" w:fill="auto"/>
          </w:tcPr>
          <w:p w14:paraId="742C04FB"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5.28323</w:t>
            </w:r>
          </w:p>
        </w:tc>
      </w:tr>
      <w:tr w:rsidR="00370373" w:rsidRPr="00036A76" w14:paraId="7E8A9B5F" w14:textId="77777777" w:rsidTr="00E77270">
        <w:trPr>
          <w:trHeight w:val="236"/>
          <w:jc w:val="center"/>
        </w:trPr>
        <w:tc>
          <w:tcPr>
            <w:tcW w:w="1319" w:type="pct"/>
            <w:shd w:val="clear" w:color="auto" w:fill="auto"/>
          </w:tcPr>
          <w:p w14:paraId="315B5432" w14:textId="77777777" w:rsidR="00370373" w:rsidRPr="00036A76" w:rsidRDefault="00370373" w:rsidP="00E77270">
            <w:pPr>
              <w:adjustRightInd w:val="0"/>
              <w:ind w:left="60" w:right="60"/>
              <w:rPr>
                <w:rFonts w:ascii="Arial" w:eastAsia="Calibri" w:hAnsi="Arial" w:cs="Arial"/>
                <w:b/>
                <w:color w:val="000000"/>
                <w:sz w:val="14"/>
                <w:szCs w:val="16"/>
              </w:rPr>
            </w:pPr>
            <w:r w:rsidRPr="00036A76">
              <w:rPr>
                <w:rFonts w:ascii="Arial" w:eastAsia="Calibri" w:hAnsi="Arial" w:cs="Arial"/>
                <w:b/>
                <w:color w:val="000000"/>
                <w:sz w:val="14"/>
                <w:szCs w:val="16"/>
              </w:rPr>
              <w:t>Valid N (listwise)</w:t>
            </w:r>
          </w:p>
        </w:tc>
        <w:tc>
          <w:tcPr>
            <w:tcW w:w="530" w:type="pct"/>
            <w:shd w:val="clear" w:color="auto" w:fill="auto"/>
          </w:tcPr>
          <w:p w14:paraId="17B9D20A" w14:textId="77777777" w:rsidR="00370373" w:rsidRPr="00036A76" w:rsidRDefault="00370373" w:rsidP="00E77270">
            <w:pPr>
              <w:adjustRightInd w:val="0"/>
              <w:ind w:left="60" w:right="60"/>
              <w:jc w:val="right"/>
              <w:rPr>
                <w:rFonts w:ascii="Arial" w:eastAsia="Calibri" w:hAnsi="Arial" w:cs="Arial"/>
                <w:b/>
                <w:color w:val="000000"/>
                <w:sz w:val="14"/>
                <w:szCs w:val="16"/>
              </w:rPr>
            </w:pPr>
            <w:r w:rsidRPr="00036A76">
              <w:rPr>
                <w:rFonts w:ascii="Arial" w:eastAsia="Calibri" w:hAnsi="Arial" w:cs="Arial"/>
                <w:b/>
                <w:color w:val="000000"/>
                <w:sz w:val="14"/>
                <w:szCs w:val="16"/>
              </w:rPr>
              <w:t>48</w:t>
            </w:r>
          </w:p>
        </w:tc>
        <w:tc>
          <w:tcPr>
            <w:tcW w:w="722" w:type="pct"/>
            <w:shd w:val="clear" w:color="auto" w:fill="auto"/>
          </w:tcPr>
          <w:p w14:paraId="4EBB953C" w14:textId="77777777" w:rsidR="00370373" w:rsidRPr="00036A76" w:rsidRDefault="00370373" w:rsidP="00E77270">
            <w:pPr>
              <w:adjustRightInd w:val="0"/>
              <w:rPr>
                <w:rFonts w:eastAsia="Calibri"/>
                <w:b/>
                <w:color w:val="000000"/>
                <w:sz w:val="14"/>
                <w:szCs w:val="16"/>
              </w:rPr>
            </w:pPr>
          </w:p>
        </w:tc>
        <w:tc>
          <w:tcPr>
            <w:tcW w:w="684" w:type="pct"/>
            <w:shd w:val="clear" w:color="auto" w:fill="auto"/>
          </w:tcPr>
          <w:p w14:paraId="0D590334" w14:textId="77777777" w:rsidR="00370373" w:rsidRPr="00036A76" w:rsidRDefault="00370373" w:rsidP="00E77270">
            <w:pPr>
              <w:adjustRightInd w:val="0"/>
              <w:rPr>
                <w:rFonts w:eastAsia="Calibri"/>
                <w:b/>
                <w:color w:val="000000"/>
                <w:sz w:val="14"/>
                <w:szCs w:val="16"/>
              </w:rPr>
            </w:pPr>
          </w:p>
        </w:tc>
        <w:tc>
          <w:tcPr>
            <w:tcW w:w="767" w:type="pct"/>
            <w:shd w:val="clear" w:color="auto" w:fill="auto"/>
          </w:tcPr>
          <w:p w14:paraId="2ADCA4A7" w14:textId="77777777" w:rsidR="00370373" w:rsidRPr="00036A76" w:rsidRDefault="00370373" w:rsidP="00E77270">
            <w:pPr>
              <w:adjustRightInd w:val="0"/>
              <w:rPr>
                <w:rFonts w:eastAsia="Calibri"/>
                <w:b/>
                <w:color w:val="000000"/>
                <w:sz w:val="14"/>
                <w:szCs w:val="16"/>
              </w:rPr>
            </w:pPr>
          </w:p>
        </w:tc>
        <w:tc>
          <w:tcPr>
            <w:tcW w:w="977" w:type="pct"/>
            <w:shd w:val="clear" w:color="auto" w:fill="auto"/>
          </w:tcPr>
          <w:p w14:paraId="6DA56E6F" w14:textId="77777777" w:rsidR="00370373" w:rsidRPr="00036A76" w:rsidRDefault="00370373" w:rsidP="00E77270">
            <w:pPr>
              <w:adjustRightInd w:val="0"/>
              <w:rPr>
                <w:rFonts w:eastAsia="Calibri"/>
                <w:b/>
                <w:color w:val="000000"/>
                <w:sz w:val="14"/>
                <w:szCs w:val="16"/>
              </w:rPr>
            </w:pPr>
          </w:p>
        </w:tc>
      </w:tr>
    </w:tbl>
    <w:p w14:paraId="3F35EF45" w14:textId="1328FA65" w:rsidR="004F3885" w:rsidRDefault="004F3885" w:rsidP="00C40A65">
      <w:pPr>
        <w:pStyle w:val="BodyText"/>
        <w:jc w:val="both"/>
      </w:pPr>
    </w:p>
    <w:p w14:paraId="261A9D61" w14:textId="66145DEA" w:rsidR="004F3885" w:rsidRDefault="004F3885" w:rsidP="00C40A65">
      <w:pPr>
        <w:pStyle w:val="BodyText"/>
        <w:jc w:val="both"/>
      </w:pPr>
    </w:p>
    <w:p w14:paraId="6E7B8E2F" w14:textId="1FBBA3AF" w:rsidR="00370373" w:rsidRPr="00370373" w:rsidRDefault="00370373" w:rsidP="00370373">
      <w:pPr>
        <w:pStyle w:val="BodyText"/>
        <w:ind w:firstLine="720"/>
        <w:jc w:val="both"/>
        <w:rPr>
          <w:color w:val="202124"/>
          <w:lang w:val="en" w:eastAsia="id-ID"/>
        </w:rPr>
      </w:pPr>
      <w:r w:rsidRPr="00370373">
        <w:rPr>
          <w:color w:val="202124"/>
          <w:lang w:val="en" w:eastAsia="id-ID"/>
        </w:rPr>
        <w:t>Analysis of research data using descriptive statistics shown in table 4.1 above is explained as follows:</w:t>
      </w:r>
      <w:r>
        <w:rPr>
          <w:color w:val="202124"/>
          <w:lang w:eastAsia="id-ID"/>
        </w:rPr>
        <w:t xml:space="preserve"> </w:t>
      </w:r>
      <w:r w:rsidRPr="00370373">
        <w:rPr>
          <w:color w:val="202124"/>
          <w:lang w:val="en" w:eastAsia="id-ID"/>
        </w:rPr>
        <w:t xml:space="preserve">Based on the results of the descriptive analysis of liquidity (current ratio) shows a minimum value of 0.05 and a maximum value of 14.03 with an average of 2.4440 and a standard deviation of 3.27927. The minimum value of 0.05 was owned by </w:t>
      </w:r>
      <w:proofErr w:type="spellStart"/>
      <w:r w:rsidRPr="00370373">
        <w:rPr>
          <w:color w:val="202124"/>
          <w:lang w:val="en" w:eastAsia="id-ID"/>
        </w:rPr>
        <w:t>Trikomsel</w:t>
      </w:r>
      <w:proofErr w:type="spellEnd"/>
      <w:r w:rsidRPr="00370373">
        <w:rPr>
          <w:color w:val="202124"/>
          <w:lang w:val="en" w:eastAsia="id-ID"/>
        </w:rPr>
        <w:t xml:space="preserve"> </w:t>
      </w:r>
      <w:proofErr w:type="spellStart"/>
      <w:r w:rsidRPr="00370373">
        <w:rPr>
          <w:color w:val="202124"/>
          <w:lang w:val="en" w:eastAsia="id-ID"/>
        </w:rPr>
        <w:t>Oke</w:t>
      </w:r>
      <w:proofErr w:type="spellEnd"/>
      <w:r w:rsidRPr="00370373">
        <w:rPr>
          <w:color w:val="202124"/>
          <w:lang w:val="en" w:eastAsia="id-ID"/>
        </w:rPr>
        <w:t xml:space="preserve"> in 2016 with current liabilities of Rp. 6,128,765,591,127 greater than current assets of Rp. 228,937,342,571 and a maximum value of 14.03 owned by Electronic City Indonesia in 2015 where current assets amounted to Rp. 1,316,699,908,626 is greater than its current liabilities of Rp. 93,848,579,757.</w:t>
      </w:r>
    </w:p>
    <w:p w14:paraId="150A9597" w14:textId="77777777" w:rsidR="00370373" w:rsidRPr="00370373" w:rsidRDefault="00370373" w:rsidP="00370373">
      <w:pPr>
        <w:pStyle w:val="BodyText"/>
        <w:ind w:firstLine="720"/>
        <w:jc w:val="both"/>
        <w:rPr>
          <w:color w:val="202124"/>
          <w:lang w:val="en" w:eastAsia="id-ID"/>
        </w:rPr>
      </w:pPr>
      <w:r w:rsidRPr="00370373">
        <w:rPr>
          <w:color w:val="202124"/>
          <w:lang w:val="en" w:eastAsia="id-ID"/>
        </w:rPr>
        <w:t xml:space="preserve">Based on the results of the descriptive analysis of profitability (ROA) shows a minimum value of -10.74 and a maximum value of 0.10 with an average of -0.5080 and a standard deviation of 2.01436. The minimum value of -10.74 was owned by </w:t>
      </w:r>
      <w:proofErr w:type="spellStart"/>
      <w:r w:rsidRPr="00370373">
        <w:rPr>
          <w:color w:val="202124"/>
          <w:lang w:val="en" w:eastAsia="id-ID"/>
        </w:rPr>
        <w:t>Trikomsel</w:t>
      </w:r>
      <w:proofErr w:type="spellEnd"/>
      <w:r w:rsidRPr="00370373">
        <w:rPr>
          <w:color w:val="202124"/>
          <w:lang w:val="en" w:eastAsia="id-ID"/>
        </w:rPr>
        <w:t xml:space="preserve"> </w:t>
      </w:r>
      <w:proofErr w:type="spellStart"/>
      <w:r w:rsidRPr="00370373">
        <w:rPr>
          <w:color w:val="202124"/>
          <w:lang w:val="en" w:eastAsia="id-ID"/>
        </w:rPr>
        <w:t>Oke</w:t>
      </w:r>
      <w:proofErr w:type="spellEnd"/>
      <w:r w:rsidRPr="00370373">
        <w:rPr>
          <w:color w:val="202124"/>
          <w:lang w:val="en" w:eastAsia="id-ID"/>
        </w:rPr>
        <w:t xml:space="preserve"> in 2015 where the net loss for the year was –Rp. 8,653 (in billion rupiah) while the maximum value of 0.10 is owned by Sona </w:t>
      </w:r>
      <w:proofErr w:type="spellStart"/>
      <w:r w:rsidRPr="00370373">
        <w:rPr>
          <w:color w:val="202124"/>
          <w:lang w:val="en" w:eastAsia="id-ID"/>
        </w:rPr>
        <w:t>Topas</w:t>
      </w:r>
      <w:proofErr w:type="spellEnd"/>
      <w:r w:rsidRPr="00370373">
        <w:rPr>
          <w:color w:val="202124"/>
          <w:lang w:val="en" w:eastAsia="id-ID"/>
        </w:rPr>
        <w:t xml:space="preserve"> Tourism Industry in 2018 where the net profit for the year is Rp. 123,473 (presented in millions of rupiah).</w:t>
      </w:r>
    </w:p>
    <w:p w14:paraId="521986B7" w14:textId="77777777" w:rsidR="00370373" w:rsidRPr="00370373" w:rsidRDefault="00370373" w:rsidP="00370373">
      <w:pPr>
        <w:pStyle w:val="BodyText"/>
        <w:ind w:firstLine="720"/>
        <w:jc w:val="both"/>
        <w:rPr>
          <w:color w:val="202124"/>
          <w:lang w:eastAsia="id-ID"/>
        </w:rPr>
      </w:pPr>
      <w:r w:rsidRPr="00370373">
        <w:rPr>
          <w:color w:val="202124"/>
          <w:lang w:val="en" w:eastAsia="id-ID"/>
        </w:rPr>
        <w:t>Based on the results of the descriptive analysis of solvency (Debt Ratio) shows a minimum value of 0.07 and a maximum value of 19.89 with an average of 2.6148 and a standard deviation of 5.28323. The minimum value of 0.07 is owned by Electronic City Indonesia in 2015 where the total liability is Rp. 140,943,390,684 and total assets of Rp. 1,898,418,873,433 while the maximum value of 19.89 is owned by Global Teleshop in 2018 where the total liability is Rp. 742,492,407,888 greater than the total assets of Rp.37,180,128,513</w:t>
      </w:r>
    </w:p>
    <w:p w14:paraId="3663C562" w14:textId="2C97FF3E" w:rsidR="004F3885" w:rsidRDefault="004F3885" w:rsidP="00C40A65">
      <w:pPr>
        <w:pStyle w:val="BodyText"/>
        <w:jc w:val="both"/>
      </w:pPr>
    </w:p>
    <w:p w14:paraId="0ED86EC7" w14:textId="1172B782" w:rsidR="00370373" w:rsidRPr="00370373" w:rsidRDefault="00370373" w:rsidP="00370373">
      <w:pPr>
        <w:jc w:val="center"/>
        <w:rPr>
          <w:b/>
          <w:sz w:val="20"/>
          <w:szCs w:val="20"/>
        </w:rPr>
      </w:pPr>
      <w:r w:rsidRPr="00370373">
        <w:rPr>
          <w:b/>
          <w:sz w:val="20"/>
          <w:szCs w:val="20"/>
        </w:rPr>
        <w:t>Tabel 4.2</w:t>
      </w:r>
    </w:p>
    <w:p w14:paraId="201E93E6" w14:textId="77777777" w:rsidR="00370373" w:rsidRPr="00370373" w:rsidRDefault="00370373" w:rsidP="00370373">
      <w:pPr>
        <w:jc w:val="center"/>
        <w:rPr>
          <w:b/>
          <w:sz w:val="20"/>
          <w:szCs w:val="20"/>
        </w:rPr>
      </w:pPr>
      <w:r w:rsidRPr="00370373">
        <w:rPr>
          <w:b/>
          <w:sz w:val="20"/>
          <w:szCs w:val="20"/>
        </w:rPr>
        <w:t>Statistik Deskriptif (Y)</w:t>
      </w:r>
    </w:p>
    <w:tbl>
      <w:tblPr>
        <w:tblStyle w:val="TableGrid7"/>
        <w:tblW w:w="3145" w:type="pct"/>
        <w:jc w:val="center"/>
        <w:tblLayout w:type="fixed"/>
        <w:tblLook w:val="0000" w:firstRow="0" w:lastRow="0" w:firstColumn="0" w:lastColumn="0" w:noHBand="0" w:noVBand="0"/>
      </w:tblPr>
      <w:tblGrid>
        <w:gridCol w:w="345"/>
        <w:gridCol w:w="1325"/>
        <w:gridCol w:w="1088"/>
        <w:gridCol w:w="889"/>
        <w:gridCol w:w="890"/>
        <w:gridCol w:w="1137"/>
      </w:tblGrid>
      <w:tr w:rsidR="00370373" w:rsidRPr="00C250BA" w14:paraId="095CB401" w14:textId="77777777" w:rsidTr="00370373">
        <w:trPr>
          <w:trHeight w:val="267"/>
          <w:jc w:val="center"/>
        </w:trPr>
        <w:tc>
          <w:tcPr>
            <w:tcW w:w="1472" w:type="pct"/>
            <w:gridSpan w:val="2"/>
          </w:tcPr>
          <w:p w14:paraId="501C9C98" w14:textId="77777777" w:rsidR="00370373" w:rsidRPr="00C250BA" w:rsidRDefault="00370373" w:rsidP="00E77270">
            <w:pPr>
              <w:adjustRightInd w:val="0"/>
              <w:jc w:val="center"/>
              <w:rPr>
                <w:rFonts w:ascii="Arial" w:eastAsia="Calibri" w:hAnsi="Arial" w:cs="Arial"/>
                <w:b/>
                <w:color w:val="000000"/>
                <w:sz w:val="14"/>
                <w:szCs w:val="16"/>
              </w:rPr>
            </w:pPr>
            <w:proofErr w:type="spellStart"/>
            <w:r w:rsidRPr="00C250BA">
              <w:rPr>
                <w:rFonts w:ascii="Arial" w:eastAsia="Calibri" w:hAnsi="Arial" w:cs="Arial"/>
                <w:b/>
                <w:color w:val="000000"/>
                <w:sz w:val="14"/>
                <w:szCs w:val="16"/>
              </w:rPr>
              <w:t>Variabel</w:t>
            </w:r>
            <w:proofErr w:type="spellEnd"/>
          </w:p>
        </w:tc>
        <w:tc>
          <w:tcPr>
            <w:tcW w:w="959" w:type="pct"/>
          </w:tcPr>
          <w:p w14:paraId="74B05C57" w14:textId="77777777" w:rsidR="00370373" w:rsidRPr="00C250BA" w:rsidRDefault="00370373" w:rsidP="00E77270">
            <w:pPr>
              <w:adjustRightInd w:val="0"/>
              <w:ind w:right="60"/>
              <w:jc w:val="center"/>
              <w:rPr>
                <w:rFonts w:ascii="Arial" w:eastAsia="Calibri" w:hAnsi="Arial" w:cs="Arial"/>
                <w:b/>
                <w:color w:val="000000"/>
                <w:sz w:val="14"/>
                <w:szCs w:val="16"/>
              </w:rPr>
            </w:pPr>
            <w:r w:rsidRPr="00C250BA">
              <w:rPr>
                <w:rFonts w:ascii="Arial" w:eastAsia="Calibri" w:hAnsi="Arial" w:cs="Arial"/>
                <w:b/>
                <w:color w:val="000000"/>
                <w:sz w:val="14"/>
                <w:szCs w:val="16"/>
              </w:rPr>
              <w:t>Frequency</w:t>
            </w:r>
          </w:p>
        </w:tc>
        <w:tc>
          <w:tcPr>
            <w:tcW w:w="783" w:type="pct"/>
          </w:tcPr>
          <w:p w14:paraId="2CD36FBD" w14:textId="77777777" w:rsidR="00370373" w:rsidRPr="00C250BA" w:rsidRDefault="00370373" w:rsidP="00E77270">
            <w:pPr>
              <w:adjustRightInd w:val="0"/>
              <w:ind w:right="60"/>
              <w:jc w:val="center"/>
              <w:rPr>
                <w:rFonts w:ascii="Arial" w:eastAsia="Calibri" w:hAnsi="Arial" w:cs="Arial"/>
                <w:b/>
                <w:color w:val="000000"/>
                <w:sz w:val="14"/>
                <w:szCs w:val="16"/>
              </w:rPr>
            </w:pPr>
            <w:r w:rsidRPr="00C250BA">
              <w:rPr>
                <w:rFonts w:ascii="Arial" w:eastAsia="Calibri" w:hAnsi="Arial" w:cs="Arial"/>
                <w:b/>
                <w:color w:val="000000"/>
                <w:sz w:val="14"/>
                <w:szCs w:val="16"/>
              </w:rPr>
              <w:t>Percent</w:t>
            </w:r>
          </w:p>
        </w:tc>
        <w:tc>
          <w:tcPr>
            <w:tcW w:w="784" w:type="pct"/>
          </w:tcPr>
          <w:p w14:paraId="4672827F" w14:textId="77777777" w:rsidR="00370373" w:rsidRPr="00C250BA" w:rsidRDefault="00370373" w:rsidP="00E77270">
            <w:pPr>
              <w:adjustRightInd w:val="0"/>
              <w:ind w:right="60"/>
              <w:jc w:val="center"/>
              <w:rPr>
                <w:rFonts w:ascii="Arial" w:eastAsia="Calibri" w:hAnsi="Arial" w:cs="Arial"/>
                <w:b/>
                <w:color w:val="000000"/>
                <w:sz w:val="14"/>
                <w:szCs w:val="16"/>
              </w:rPr>
            </w:pPr>
            <w:r w:rsidRPr="00C250BA">
              <w:rPr>
                <w:rFonts w:ascii="Arial" w:eastAsia="Calibri" w:hAnsi="Arial" w:cs="Arial"/>
                <w:b/>
                <w:color w:val="000000"/>
                <w:sz w:val="14"/>
                <w:szCs w:val="16"/>
              </w:rPr>
              <w:t>Valid Percent</w:t>
            </w:r>
          </w:p>
        </w:tc>
        <w:tc>
          <w:tcPr>
            <w:tcW w:w="1003" w:type="pct"/>
          </w:tcPr>
          <w:p w14:paraId="32051E00" w14:textId="77777777" w:rsidR="00370373" w:rsidRPr="00C250BA" w:rsidRDefault="00370373" w:rsidP="00E77270">
            <w:pPr>
              <w:adjustRightInd w:val="0"/>
              <w:ind w:right="60"/>
              <w:jc w:val="center"/>
              <w:rPr>
                <w:rFonts w:ascii="Arial" w:eastAsia="Calibri" w:hAnsi="Arial" w:cs="Arial"/>
                <w:b/>
                <w:color w:val="000000"/>
                <w:sz w:val="14"/>
                <w:szCs w:val="16"/>
              </w:rPr>
            </w:pPr>
            <w:r w:rsidRPr="00C250BA">
              <w:rPr>
                <w:rFonts w:ascii="Arial" w:eastAsia="Calibri" w:hAnsi="Arial" w:cs="Arial"/>
                <w:b/>
                <w:color w:val="000000"/>
                <w:sz w:val="14"/>
                <w:szCs w:val="16"/>
              </w:rPr>
              <w:t>Cumulative Percent</w:t>
            </w:r>
          </w:p>
        </w:tc>
      </w:tr>
      <w:tr w:rsidR="00370373" w:rsidRPr="00C250BA" w14:paraId="4B2B29AC" w14:textId="77777777" w:rsidTr="00370373">
        <w:trPr>
          <w:trHeight w:val="294"/>
          <w:jc w:val="center"/>
        </w:trPr>
        <w:tc>
          <w:tcPr>
            <w:tcW w:w="304" w:type="pct"/>
            <w:vMerge w:val="restart"/>
          </w:tcPr>
          <w:p w14:paraId="44724136" w14:textId="77777777" w:rsidR="00370373" w:rsidRPr="00C250BA" w:rsidRDefault="00370373" w:rsidP="00E77270">
            <w:pPr>
              <w:adjustRightInd w:val="0"/>
              <w:ind w:right="60"/>
              <w:rPr>
                <w:rFonts w:ascii="Arial" w:eastAsia="Calibri" w:hAnsi="Arial" w:cs="Arial"/>
                <w:b/>
                <w:color w:val="000000"/>
                <w:sz w:val="14"/>
                <w:szCs w:val="16"/>
              </w:rPr>
            </w:pPr>
          </w:p>
        </w:tc>
        <w:tc>
          <w:tcPr>
            <w:tcW w:w="1168" w:type="pct"/>
          </w:tcPr>
          <w:p w14:paraId="6E3C8CF5" w14:textId="77777777" w:rsidR="00370373" w:rsidRPr="00C250BA" w:rsidRDefault="00370373" w:rsidP="00E77270">
            <w:pPr>
              <w:adjustRightInd w:val="0"/>
              <w:ind w:left="60" w:right="60"/>
              <w:rPr>
                <w:rFonts w:ascii="Arial" w:eastAsia="Calibri" w:hAnsi="Arial" w:cs="Arial"/>
                <w:b/>
                <w:color w:val="000000"/>
                <w:sz w:val="14"/>
                <w:szCs w:val="16"/>
              </w:rPr>
            </w:pPr>
            <w:proofErr w:type="spellStart"/>
            <w:r w:rsidRPr="00C250BA">
              <w:rPr>
                <w:rFonts w:ascii="Arial" w:eastAsia="Calibri" w:hAnsi="Arial" w:cs="Arial"/>
                <w:b/>
                <w:color w:val="000000"/>
                <w:sz w:val="14"/>
                <w:szCs w:val="16"/>
              </w:rPr>
              <w:t>Opini</w:t>
            </w:r>
            <w:proofErr w:type="spellEnd"/>
            <w:r w:rsidRPr="00C250BA">
              <w:rPr>
                <w:rFonts w:ascii="Arial" w:eastAsia="Calibri" w:hAnsi="Arial" w:cs="Arial"/>
                <w:b/>
                <w:color w:val="000000"/>
                <w:sz w:val="14"/>
                <w:szCs w:val="16"/>
              </w:rPr>
              <w:t xml:space="preserve"> non going concern</w:t>
            </w:r>
          </w:p>
        </w:tc>
        <w:tc>
          <w:tcPr>
            <w:tcW w:w="959" w:type="pct"/>
          </w:tcPr>
          <w:p w14:paraId="23F872C4" w14:textId="77777777" w:rsidR="00370373" w:rsidRPr="00C250BA" w:rsidRDefault="00370373" w:rsidP="00E77270">
            <w:pPr>
              <w:adjustRightInd w:val="0"/>
              <w:ind w:left="60" w:right="60"/>
              <w:jc w:val="center"/>
              <w:rPr>
                <w:rFonts w:ascii="Arial" w:eastAsia="Calibri" w:hAnsi="Arial" w:cs="Arial"/>
                <w:b/>
                <w:color w:val="000000"/>
                <w:sz w:val="14"/>
                <w:szCs w:val="16"/>
              </w:rPr>
            </w:pPr>
            <w:r w:rsidRPr="00C250BA">
              <w:rPr>
                <w:rFonts w:ascii="Arial" w:eastAsia="Calibri" w:hAnsi="Arial" w:cs="Arial"/>
                <w:b/>
                <w:color w:val="000000"/>
                <w:sz w:val="14"/>
                <w:szCs w:val="16"/>
              </w:rPr>
              <w:t>9</w:t>
            </w:r>
          </w:p>
        </w:tc>
        <w:tc>
          <w:tcPr>
            <w:tcW w:w="783" w:type="pct"/>
          </w:tcPr>
          <w:p w14:paraId="0D578214" w14:textId="77777777" w:rsidR="00370373" w:rsidRPr="00C250BA" w:rsidRDefault="00370373" w:rsidP="00E77270">
            <w:pPr>
              <w:adjustRightInd w:val="0"/>
              <w:ind w:left="60" w:right="60"/>
              <w:jc w:val="center"/>
              <w:rPr>
                <w:rFonts w:ascii="Arial" w:eastAsia="Calibri" w:hAnsi="Arial" w:cs="Arial"/>
                <w:b/>
                <w:color w:val="000000"/>
                <w:sz w:val="14"/>
                <w:szCs w:val="16"/>
              </w:rPr>
            </w:pPr>
            <w:r w:rsidRPr="00C250BA">
              <w:rPr>
                <w:rFonts w:ascii="Arial" w:eastAsia="Calibri" w:hAnsi="Arial" w:cs="Arial"/>
                <w:b/>
                <w:color w:val="000000"/>
                <w:sz w:val="14"/>
                <w:szCs w:val="16"/>
              </w:rPr>
              <w:t>75.0</w:t>
            </w:r>
          </w:p>
        </w:tc>
        <w:tc>
          <w:tcPr>
            <w:tcW w:w="784" w:type="pct"/>
          </w:tcPr>
          <w:p w14:paraId="7125E792" w14:textId="77777777" w:rsidR="00370373" w:rsidRPr="00C250BA" w:rsidRDefault="00370373" w:rsidP="00E77270">
            <w:pPr>
              <w:adjustRightInd w:val="0"/>
              <w:ind w:left="60" w:right="60"/>
              <w:jc w:val="center"/>
              <w:rPr>
                <w:rFonts w:ascii="Arial" w:eastAsia="Calibri" w:hAnsi="Arial" w:cs="Arial"/>
                <w:b/>
                <w:color w:val="000000"/>
                <w:sz w:val="14"/>
                <w:szCs w:val="16"/>
              </w:rPr>
            </w:pPr>
            <w:r w:rsidRPr="00C250BA">
              <w:rPr>
                <w:rFonts w:ascii="Arial" w:eastAsia="Calibri" w:hAnsi="Arial" w:cs="Arial"/>
                <w:b/>
                <w:color w:val="000000"/>
                <w:sz w:val="14"/>
                <w:szCs w:val="16"/>
              </w:rPr>
              <w:t>75.0</w:t>
            </w:r>
          </w:p>
        </w:tc>
        <w:tc>
          <w:tcPr>
            <w:tcW w:w="1003" w:type="pct"/>
          </w:tcPr>
          <w:p w14:paraId="5631AF9E" w14:textId="77777777" w:rsidR="00370373" w:rsidRPr="00C250BA" w:rsidRDefault="00370373" w:rsidP="00E77270">
            <w:pPr>
              <w:adjustRightInd w:val="0"/>
              <w:ind w:left="60" w:right="60"/>
              <w:jc w:val="center"/>
              <w:rPr>
                <w:rFonts w:ascii="Arial" w:eastAsia="Calibri" w:hAnsi="Arial" w:cs="Arial"/>
                <w:b/>
                <w:color w:val="000000"/>
                <w:sz w:val="14"/>
                <w:szCs w:val="16"/>
              </w:rPr>
            </w:pPr>
            <w:r w:rsidRPr="00C250BA">
              <w:rPr>
                <w:rFonts w:ascii="Arial" w:eastAsia="Calibri" w:hAnsi="Arial" w:cs="Arial"/>
                <w:b/>
                <w:color w:val="000000"/>
                <w:sz w:val="14"/>
                <w:szCs w:val="16"/>
              </w:rPr>
              <w:t>75.0</w:t>
            </w:r>
          </w:p>
        </w:tc>
      </w:tr>
      <w:tr w:rsidR="00370373" w:rsidRPr="00C250BA" w14:paraId="1BAF4D92" w14:textId="77777777" w:rsidTr="00370373">
        <w:trPr>
          <w:trHeight w:val="294"/>
          <w:jc w:val="center"/>
        </w:trPr>
        <w:tc>
          <w:tcPr>
            <w:tcW w:w="304" w:type="pct"/>
            <w:vMerge/>
          </w:tcPr>
          <w:p w14:paraId="51EA8D31" w14:textId="77777777" w:rsidR="00370373" w:rsidRPr="00C250BA" w:rsidRDefault="00370373" w:rsidP="00E77270">
            <w:pPr>
              <w:adjustRightInd w:val="0"/>
              <w:rPr>
                <w:rFonts w:ascii="Arial" w:eastAsia="Calibri" w:hAnsi="Arial" w:cs="Arial"/>
                <w:b/>
                <w:color w:val="000000"/>
                <w:sz w:val="14"/>
                <w:szCs w:val="16"/>
              </w:rPr>
            </w:pPr>
          </w:p>
        </w:tc>
        <w:tc>
          <w:tcPr>
            <w:tcW w:w="1168" w:type="pct"/>
          </w:tcPr>
          <w:p w14:paraId="2E37653F" w14:textId="77777777" w:rsidR="00370373" w:rsidRPr="00C250BA" w:rsidRDefault="00370373" w:rsidP="00E77270">
            <w:pPr>
              <w:adjustRightInd w:val="0"/>
              <w:ind w:left="60" w:right="60"/>
              <w:rPr>
                <w:rFonts w:ascii="Arial" w:eastAsia="Calibri" w:hAnsi="Arial" w:cs="Arial"/>
                <w:b/>
                <w:color w:val="000000"/>
                <w:sz w:val="14"/>
                <w:szCs w:val="16"/>
              </w:rPr>
            </w:pPr>
            <w:proofErr w:type="spellStart"/>
            <w:r w:rsidRPr="00C250BA">
              <w:rPr>
                <w:rFonts w:ascii="Arial" w:eastAsia="Calibri" w:hAnsi="Arial" w:cs="Arial"/>
                <w:b/>
                <w:color w:val="000000"/>
                <w:sz w:val="14"/>
                <w:szCs w:val="16"/>
              </w:rPr>
              <w:t>Opini</w:t>
            </w:r>
            <w:proofErr w:type="spellEnd"/>
            <w:r w:rsidRPr="00C250BA">
              <w:rPr>
                <w:rFonts w:ascii="Arial" w:eastAsia="Calibri" w:hAnsi="Arial" w:cs="Arial"/>
                <w:b/>
                <w:color w:val="000000"/>
                <w:sz w:val="14"/>
                <w:szCs w:val="16"/>
              </w:rPr>
              <w:t xml:space="preserve"> going concern</w:t>
            </w:r>
          </w:p>
        </w:tc>
        <w:tc>
          <w:tcPr>
            <w:tcW w:w="959" w:type="pct"/>
          </w:tcPr>
          <w:p w14:paraId="1E33F090" w14:textId="77777777" w:rsidR="00370373" w:rsidRPr="00C250BA" w:rsidRDefault="00370373" w:rsidP="00E77270">
            <w:pPr>
              <w:adjustRightInd w:val="0"/>
              <w:ind w:left="60" w:right="60"/>
              <w:jc w:val="center"/>
              <w:rPr>
                <w:rFonts w:ascii="Arial" w:eastAsia="Calibri" w:hAnsi="Arial" w:cs="Arial"/>
                <w:b/>
                <w:color w:val="000000"/>
                <w:sz w:val="14"/>
                <w:szCs w:val="16"/>
              </w:rPr>
            </w:pPr>
            <w:r w:rsidRPr="00C250BA">
              <w:rPr>
                <w:rFonts w:ascii="Arial" w:eastAsia="Calibri" w:hAnsi="Arial" w:cs="Arial"/>
                <w:b/>
                <w:color w:val="000000"/>
                <w:sz w:val="14"/>
                <w:szCs w:val="16"/>
              </w:rPr>
              <w:t>3</w:t>
            </w:r>
          </w:p>
        </w:tc>
        <w:tc>
          <w:tcPr>
            <w:tcW w:w="783" w:type="pct"/>
          </w:tcPr>
          <w:p w14:paraId="49A09383" w14:textId="77777777" w:rsidR="00370373" w:rsidRPr="00C250BA" w:rsidRDefault="00370373" w:rsidP="00E77270">
            <w:pPr>
              <w:adjustRightInd w:val="0"/>
              <w:ind w:left="60" w:right="60"/>
              <w:jc w:val="center"/>
              <w:rPr>
                <w:rFonts w:ascii="Arial" w:eastAsia="Calibri" w:hAnsi="Arial" w:cs="Arial"/>
                <w:b/>
                <w:color w:val="000000"/>
                <w:sz w:val="14"/>
                <w:szCs w:val="16"/>
              </w:rPr>
            </w:pPr>
            <w:r w:rsidRPr="00C250BA">
              <w:rPr>
                <w:rFonts w:ascii="Arial" w:eastAsia="Calibri" w:hAnsi="Arial" w:cs="Arial"/>
                <w:b/>
                <w:color w:val="000000"/>
                <w:sz w:val="14"/>
                <w:szCs w:val="16"/>
              </w:rPr>
              <w:t>25.0</w:t>
            </w:r>
          </w:p>
        </w:tc>
        <w:tc>
          <w:tcPr>
            <w:tcW w:w="784" w:type="pct"/>
          </w:tcPr>
          <w:p w14:paraId="3047E235" w14:textId="77777777" w:rsidR="00370373" w:rsidRPr="00C250BA" w:rsidRDefault="00370373" w:rsidP="00E77270">
            <w:pPr>
              <w:adjustRightInd w:val="0"/>
              <w:ind w:left="60" w:right="60"/>
              <w:jc w:val="center"/>
              <w:rPr>
                <w:rFonts w:ascii="Arial" w:eastAsia="Calibri" w:hAnsi="Arial" w:cs="Arial"/>
                <w:b/>
                <w:color w:val="000000"/>
                <w:sz w:val="14"/>
                <w:szCs w:val="16"/>
              </w:rPr>
            </w:pPr>
            <w:r w:rsidRPr="00C250BA">
              <w:rPr>
                <w:rFonts w:ascii="Arial" w:eastAsia="Calibri" w:hAnsi="Arial" w:cs="Arial"/>
                <w:b/>
                <w:color w:val="000000"/>
                <w:sz w:val="14"/>
                <w:szCs w:val="16"/>
              </w:rPr>
              <w:t>25.0</w:t>
            </w:r>
          </w:p>
        </w:tc>
        <w:tc>
          <w:tcPr>
            <w:tcW w:w="1003" w:type="pct"/>
          </w:tcPr>
          <w:p w14:paraId="50BDC805" w14:textId="77777777" w:rsidR="00370373" w:rsidRPr="00C250BA" w:rsidRDefault="00370373" w:rsidP="00E77270">
            <w:pPr>
              <w:adjustRightInd w:val="0"/>
              <w:ind w:left="60" w:right="60"/>
              <w:jc w:val="center"/>
              <w:rPr>
                <w:rFonts w:ascii="Arial" w:eastAsia="Calibri" w:hAnsi="Arial" w:cs="Arial"/>
                <w:b/>
                <w:color w:val="000000"/>
                <w:sz w:val="14"/>
                <w:szCs w:val="16"/>
              </w:rPr>
            </w:pPr>
            <w:r w:rsidRPr="00C250BA">
              <w:rPr>
                <w:rFonts w:ascii="Arial" w:eastAsia="Calibri" w:hAnsi="Arial" w:cs="Arial"/>
                <w:b/>
                <w:color w:val="000000"/>
                <w:sz w:val="14"/>
                <w:szCs w:val="16"/>
              </w:rPr>
              <w:t>100.0</w:t>
            </w:r>
          </w:p>
        </w:tc>
      </w:tr>
      <w:tr w:rsidR="00370373" w:rsidRPr="00C250BA" w14:paraId="0F4FCEF7" w14:textId="77777777" w:rsidTr="00370373">
        <w:trPr>
          <w:trHeight w:val="294"/>
          <w:jc w:val="center"/>
        </w:trPr>
        <w:tc>
          <w:tcPr>
            <w:tcW w:w="304" w:type="pct"/>
            <w:vMerge/>
          </w:tcPr>
          <w:p w14:paraId="2F3FA724" w14:textId="77777777" w:rsidR="00370373" w:rsidRPr="00C250BA" w:rsidRDefault="00370373" w:rsidP="00E77270">
            <w:pPr>
              <w:adjustRightInd w:val="0"/>
              <w:rPr>
                <w:rFonts w:ascii="Arial" w:eastAsia="Calibri" w:hAnsi="Arial" w:cs="Arial"/>
                <w:b/>
                <w:color w:val="000000"/>
                <w:sz w:val="14"/>
                <w:szCs w:val="16"/>
              </w:rPr>
            </w:pPr>
          </w:p>
        </w:tc>
        <w:tc>
          <w:tcPr>
            <w:tcW w:w="1168" w:type="pct"/>
          </w:tcPr>
          <w:p w14:paraId="37FBE665" w14:textId="77777777" w:rsidR="00370373" w:rsidRPr="00C250BA" w:rsidRDefault="00370373" w:rsidP="00E77270">
            <w:pPr>
              <w:adjustRightInd w:val="0"/>
              <w:ind w:left="60" w:right="60"/>
              <w:rPr>
                <w:rFonts w:ascii="Arial" w:eastAsia="Calibri" w:hAnsi="Arial" w:cs="Arial"/>
                <w:b/>
                <w:color w:val="000000"/>
                <w:sz w:val="14"/>
                <w:szCs w:val="16"/>
              </w:rPr>
            </w:pPr>
            <w:r w:rsidRPr="00C250BA">
              <w:rPr>
                <w:rFonts w:ascii="Arial" w:eastAsia="Calibri" w:hAnsi="Arial" w:cs="Arial"/>
                <w:b/>
                <w:color w:val="000000"/>
                <w:sz w:val="14"/>
                <w:szCs w:val="16"/>
              </w:rPr>
              <w:t>Total</w:t>
            </w:r>
          </w:p>
        </w:tc>
        <w:tc>
          <w:tcPr>
            <w:tcW w:w="959" w:type="pct"/>
          </w:tcPr>
          <w:p w14:paraId="55C2941F" w14:textId="77777777" w:rsidR="00370373" w:rsidRPr="00C250BA" w:rsidRDefault="00370373" w:rsidP="00E77270">
            <w:pPr>
              <w:adjustRightInd w:val="0"/>
              <w:ind w:left="60" w:right="60"/>
              <w:jc w:val="center"/>
              <w:rPr>
                <w:rFonts w:ascii="Arial" w:eastAsia="Calibri" w:hAnsi="Arial" w:cs="Arial"/>
                <w:b/>
                <w:color w:val="000000"/>
                <w:sz w:val="14"/>
                <w:szCs w:val="16"/>
              </w:rPr>
            </w:pPr>
            <w:r w:rsidRPr="00C250BA">
              <w:rPr>
                <w:rFonts w:ascii="Arial" w:eastAsia="Calibri" w:hAnsi="Arial" w:cs="Arial"/>
                <w:b/>
                <w:color w:val="000000"/>
                <w:sz w:val="14"/>
                <w:szCs w:val="16"/>
              </w:rPr>
              <w:t>12</w:t>
            </w:r>
          </w:p>
        </w:tc>
        <w:tc>
          <w:tcPr>
            <w:tcW w:w="783" w:type="pct"/>
          </w:tcPr>
          <w:p w14:paraId="24B94487" w14:textId="77777777" w:rsidR="00370373" w:rsidRPr="00C250BA" w:rsidRDefault="00370373" w:rsidP="00E77270">
            <w:pPr>
              <w:adjustRightInd w:val="0"/>
              <w:ind w:left="60" w:right="60"/>
              <w:jc w:val="center"/>
              <w:rPr>
                <w:rFonts w:ascii="Arial" w:eastAsia="Calibri" w:hAnsi="Arial" w:cs="Arial"/>
                <w:b/>
                <w:color w:val="000000"/>
                <w:sz w:val="14"/>
                <w:szCs w:val="16"/>
              </w:rPr>
            </w:pPr>
            <w:r w:rsidRPr="00C250BA">
              <w:rPr>
                <w:rFonts w:ascii="Arial" w:eastAsia="Calibri" w:hAnsi="Arial" w:cs="Arial"/>
                <w:b/>
                <w:color w:val="000000"/>
                <w:sz w:val="14"/>
                <w:szCs w:val="16"/>
              </w:rPr>
              <w:t>100.0</w:t>
            </w:r>
          </w:p>
        </w:tc>
        <w:tc>
          <w:tcPr>
            <w:tcW w:w="784" w:type="pct"/>
          </w:tcPr>
          <w:p w14:paraId="7286ABA8" w14:textId="77777777" w:rsidR="00370373" w:rsidRPr="00C250BA" w:rsidRDefault="00370373" w:rsidP="00E77270">
            <w:pPr>
              <w:adjustRightInd w:val="0"/>
              <w:ind w:left="60" w:right="60"/>
              <w:jc w:val="center"/>
              <w:rPr>
                <w:rFonts w:ascii="Arial" w:eastAsia="Calibri" w:hAnsi="Arial" w:cs="Arial"/>
                <w:b/>
                <w:color w:val="000000"/>
                <w:sz w:val="14"/>
                <w:szCs w:val="16"/>
              </w:rPr>
            </w:pPr>
            <w:r w:rsidRPr="00C250BA">
              <w:rPr>
                <w:rFonts w:ascii="Arial" w:eastAsia="Calibri" w:hAnsi="Arial" w:cs="Arial"/>
                <w:b/>
                <w:color w:val="000000"/>
                <w:sz w:val="14"/>
                <w:szCs w:val="16"/>
              </w:rPr>
              <w:t>100.0</w:t>
            </w:r>
          </w:p>
        </w:tc>
        <w:tc>
          <w:tcPr>
            <w:tcW w:w="1003" w:type="pct"/>
          </w:tcPr>
          <w:p w14:paraId="33744A36" w14:textId="77777777" w:rsidR="00370373" w:rsidRPr="00C250BA" w:rsidRDefault="00370373" w:rsidP="00E77270">
            <w:pPr>
              <w:adjustRightInd w:val="0"/>
              <w:jc w:val="center"/>
              <w:rPr>
                <w:rFonts w:eastAsia="Calibri"/>
                <w:b/>
                <w:color w:val="000000"/>
                <w:sz w:val="14"/>
                <w:szCs w:val="16"/>
              </w:rPr>
            </w:pPr>
          </w:p>
        </w:tc>
      </w:tr>
    </w:tbl>
    <w:p w14:paraId="5E27C1AB" w14:textId="481102BB" w:rsidR="004F3885" w:rsidRDefault="004F3885" w:rsidP="00C40A65">
      <w:pPr>
        <w:pStyle w:val="BodyText"/>
        <w:jc w:val="both"/>
      </w:pPr>
    </w:p>
    <w:p w14:paraId="56E0B00F" w14:textId="77777777" w:rsidR="00370373" w:rsidRPr="00370373" w:rsidRDefault="00370373" w:rsidP="00370373">
      <w:pPr>
        <w:pStyle w:val="BodyText"/>
        <w:ind w:firstLine="720"/>
        <w:jc w:val="both"/>
        <w:rPr>
          <w:color w:val="202124"/>
          <w:lang w:eastAsia="id-ID"/>
        </w:rPr>
      </w:pPr>
      <w:r w:rsidRPr="00370373">
        <w:rPr>
          <w:color w:val="202124"/>
          <w:lang w:val="en" w:eastAsia="id-ID"/>
        </w:rPr>
        <w:t>Based on table 4.2, of the 12 companies studied, 3 (25%) companies received going-concern audit opinions and 9 (75%) companies received non-going-concern audit opinions.</w:t>
      </w:r>
    </w:p>
    <w:p w14:paraId="02C67882" w14:textId="77777777" w:rsidR="00370373" w:rsidRDefault="00370373" w:rsidP="00C40A65">
      <w:pPr>
        <w:pStyle w:val="BodyText"/>
        <w:jc w:val="both"/>
      </w:pPr>
    </w:p>
    <w:p w14:paraId="007D854A" w14:textId="3632DDBC" w:rsidR="001B5598" w:rsidRDefault="001B5598" w:rsidP="00C40A65">
      <w:pPr>
        <w:pStyle w:val="Heading1"/>
        <w:ind w:left="450"/>
        <w:rPr>
          <w:b w:val="0"/>
        </w:rPr>
      </w:pPr>
    </w:p>
    <w:p w14:paraId="24AA72D3" w14:textId="77777777" w:rsidR="00D1619F" w:rsidRPr="00D1619F" w:rsidRDefault="00D1619F" w:rsidP="00D1619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color w:val="202124"/>
          <w:sz w:val="24"/>
          <w:szCs w:val="24"/>
          <w:lang w:val="en" w:eastAsia="id-ID"/>
        </w:rPr>
      </w:pPr>
      <w:r w:rsidRPr="00D1619F">
        <w:rPr>
          <w:b/>
          <w:bCs/>
          <w:color w:val="202124"/>
          <w:sz w:val="24"/>
          <w:szCs w:val="24"/>
          <w:lang w:val="en" w:eastAsia="id-ID"/>
        </w:rPr>
        <w:t>Hypothesis testing</w:t>
      </w:r>
    </w:p>
    <w:p w14:paraId="3A03C57F" w14:textId="322E926F" w:rsidR="00D1619F" w:rsidRDefault="00D1619F" w:rsidP="00D1619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color w:val="202124"/>
          <w:sz w:val="24"/>
          <w:szCs w:val="24"/>
          <w:lang w:val="en" w:eastAsia="id-ID"/>
        </w:rPr>
      </w:pPr>
      <w:r w:rsidRPr="00D1619F">
        <w:rPr>
          <w:b/>
          <w:bCs/>
          <w:color w:val="202124"/>
          <w:sz w:val="24"/>
          <w:szCs w:val="24"/>
          <w:lang w:val="en" w:eastAsia="id-ID"/>
        </w:rPr>
        <w:t>Partial Test (Wald Test)</w:t>
      </w:r>
    </w:p>
    <w:p w14:paraId="3FB47947" w14:textId="77777777" w:rsidR="00D1619F" w:rsidRPr="00D1619F" w:rsidRDefault="00D1619F" w:rsidP="00D1619F">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color w:val="202124"/>
          <w:sz w:val="24"/>
          <w:szCs w:val="24"/>
          <w:lang w:val="en" w:eastAsia="id-ID"/>
        </w:rPr>
      </w:pPr>
    </w:p>
    <w:p w14:paraId="3DBC5F7F" w14:textId="77777777" w:rsidR="00D1619F" w:rsidRPr="00D1619F" w:rsidRDefault="00D1619F" w:rsidP="00D1619F">
      <w:pPr>
        <w:pStyle w:val="BodyText"/>
        <w:ind w:firstLine="720"/>
        <w:jc w:val="both"/>
        <w:rPr>
          <w:color w:val="202124"/>
          <w:lang w:eastAsia="id-ID"/>
        </w:rPr>
      </w:pPr>
      <w:r w:rsidRPr="00D1619F">
        <w:rPr>
          <w:color w:val="202124"/>
          <w:lang w:val="en" w:eastAsia="id-ID"/>
        </w:rPr>
        <w:t>In the Wald test the statistic that is tested is the Wald statistic. The statistical value of the Wald test is chi-square distribution.</w:t>
      </w:r>
    </w:p>
    <w:p w14:paraId="587156B4" w14:textId="0F181654" w:rsidR="00D1619F" w:rsidRDefault="00D1619F" w:rsidP="00C40A65">
      <w:pPr>
        <w:pStyle w:val="Heading1"/>
        <w:ind w:left="450"/>
        <w:rPr>
          <w:b w:val="0"/>
        </w:rPr>
      </w:pPr>
    </w:p>
    <w:p w14:paraId="17E45FF9" w14:textId="77777777" w:rsidR="00D1619F" w:rsidRDefault="00D1619F" w:rsidP="00D1619F">
      <w:pPr>
        <w:tabs>
          <w:tab w:val="left" w:pos="426"/>
        </w:tabs>
        <w:jc w:val="center"/>
        <w:rPr>
          <w:rFonts w:ascii="Arial" w:hAnsi="Arial" w:cs="Arial"/>
          <w:b/>
        </w:rPr>
      </w:pPr>
      <w:r>
        <w:rPr>
          <w:rFonts w:ascii="Arial" w:hAnsi="Arial" w:cs="Arial"/>
          <w:b/>
        </w:rPr>
        <w:t>Tabel 4.8</w:t>
      </w:r>
    </w:p>
    <w:p w14:paraId="2F427FD1" w14:textId="77777777" w:rsidR="00D1619F" w:rsidRDefault="00D1619F" w:rsidP="00D1619F">
      <w:pPr>
        <w:tabs>
          <w:tab w:val="left" w:pos="426"/>
        </w:tabs>
        <w:jc w:val="center"/>
        <w:rPr>
          <w:rFonts w:ascii="Arial" w:hAnsi="Arial" w:cs="Arial"/>
          <w:b/>
        </w:rPr>
      </w:pPr>
      <w:r>
        <w:rPr>
          <w:rFonts w:ascii="Arial" w:hAnsi="Arial" w:cs="Arial"/>
          <w:b/>
        </w:rPr>
        <w:t>Uji Parsial</w:t>
      </w:r>
    </w:p>
    <w:p w14:paraId="4701F78A" w14:textId="746EBFF0" w:rsidR="00D1619F" w:rsidRPr="00D1619F" w:rsidRDefault="00D1619F" w:rsidP="00D1619F">
      <w:pPr>
        <w:jc w:val="center"/>
        <w:rPr>
          <w:rFonts w:ascii="Arial" w:hAnsi="Arial" w:cs="Arial"/>
        </w:rPr>
      </w:pPr>
      <w:r>
        <w:rPr>
          <w:rFonts w:ascii="Arial" w:hAnsi="Arial" w:cs="Arial"/>
          <w:noProof/>
        </w:rPr>
        <w:drawing>
          <wp:inline distT="0" distB="0" distL="0" distR="0" wp14:anchorId="6D8FD301" wp14:editId="611D44B7">
            <wp:extent cx="4464816" cy="1257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_20200805-111558~4.png"/>
                    <pic:cNvPicPr/>
                  </pic:nvPicPr>
                  <pic:blipFill>
                    <a:blip r:embed="rId9">
                      <a:extLst>
                        <a:ext uri="{28A0092B-C50C-407E-A947-70E740481C1C}">
                          <a14:useLocalDpi xmlns:a14="http://schemas.microsoft.com/office/drawing/2010/main" val="0"/>
                        </a:ext>
                      </a:extLst>
                    </a:blip>
                    <a:stretch>
                      <a:fillRect/>
                    </a:stretch>
                  </pic:blipFill>
                  <pic:spPr>
                    <a:xfrm>
                      <a:off x="0" y="0"/>
                      <a:ext cx="4499220" cy="1266988"/>
                    </a:xfrm>
                    <a:prstGeom prst="rect">
                      <a:avLst/>
                    </a:prstGeom>
                  </pic:spPr>
                </pic:pic>
              </a:graphicData>
            </a:graphic>
          </wp:inline>
        </w:drawing>
      </w:r>
    </w:p>
    <w:p w14:paraId="0DA586ED" w14:textId="77777777" w:rsidR="00D1619F" w:rsidRDefault="00D1619F" w:rsidP="00C40A65">
      <w:pPr>
        <w:pStyle w:val="BodyText"/>
        <w:jc w:val="both"/>
        <w:rPr>
          <w:b/>
          <w:bCs/>
        </w:rPr>
      </w:pPr>
    </w:p>
    <w:p w14:paraId="08928BA1" w14:textId="77777777" w:rsidR="00D1619F" w:rsidRDefault="00D1619F" w:rsidP="00C40A65">
      <w:pPr>
        <w:pStyle w:val="BodyText"/>
        <w:jc w:val="both"/>
        <w:rPr>
          <w:b/>
          <w:bCs/>
        </w:rPr>
      </w:pPr>
    </w:p>
    <w:p w14:paraId="25F58001" w14:textId="77777777" w:rsidR="00F641D7" w:rsidRPr="00F641D7" w:rsidRDefault="00F641D7" w:rsidP="00F641D7">
      <w:pPr>
        <w:pStyle w:val="BodyText"/>
        <w:ind w:firstLine="720"/>
        <w:jc w:val="both"/>
        <w:rPr>
          <w:color w:val="202124"/>
          <w:lang w:val="en" w:eastAsia="id-ID"/>
        </w:rPr>
      </w:pPr>
      <w:r w:rsidRPr="00F641D7">
        <w:rPr>
          <w:color w:val="202124"/>
          <w:lang w:val="en" w:eastAsia="id-ID"/>
        </w:rPr>
        <w:t>Hypothesis testing is done by comparing the level of significance (sig) with significance (α) = 5%. Based on table 4.10 it can be explained as follows:</w:t>
      </w:r>
    </w:p>
    <w:p w14:paraId="15958F0F" w14:textId="77777777" w:rsidR="00F641D7" w:rsidRPr="00F641D7" w:rsidRDefault="00F641D7" w:rsidP="00F641D7">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202124"/>
          <w:sz w:val="24"/>
          <w:szCs w:val="24"/>
          <w:lang w:val="en" w:eastAsia="id-ID"/>
        </w:rPr>
      </w:pPr>
      <w:r w:rsidRPr="00F641D7">
        <w:rPr>
          <w:rFonts w:ascii="Times New Roman" w:hAnsi="Times New Roman" w:cs="Times New Roman"/>
          <w:color w:val="202124"/>
          <w:sz w:val="24"/>
          <w:szCs w:val="24"/>
          <w:lang w:val="en" w:eastAsia="id-ID"/>
        </w:rPr>
        <w:t xml:space="preserve">Testing the Effect of Liquidity on Going Concern Audit </w:t>
      </w:r>
      <w:proofErr w:type="spellStart"/>
      <w:r w:rsidRPr="00F641D7">
        <w:rPr>
          <w:rFonts w:ascii="Times New Roman" w:hAnsi="Times New Roman" w:cs="Times New Roman"/>
          <w:color w:val="202124"/>
          <w:sz w:val="24"/>
          <w:szCs w:val="24"/>
          <w:lang w:val="en" w:eastAsia="id-ID"/>
        </w:rPr>
        <w:t>Audit</w:t>
      </w:r>
      <w:proofErr w:type="spellEnd"/>
      <w:r w:rsidRPr="00F641D7">
        <w:rPr>
          <w:rFonts w:ascii="Times New Roman" w:hAnsi="Times New Roman" w:cs="Times New Roman"/>
          <w:color w:val="202124"/>
          <w:sz w:val="24"/>
          <w:szCs w:val="24"/>
          <w:lang w:val="en" w:eastAsia="id-ID"/>
        </w:rPr>
        <w:t xml:space="preserve"> Opinions</w:t>
      </w:r>
    </w:p>
    <w:p w14:paraId="68882E26" w14:textId="2599BA87" w:rsidR="00F641D7" w:rsidRPr="00F641D7" w:rsidRDefault="00F641D7" w:rsidP="00F641D7">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202124"/>
          <w:sz w:val="24"/>
          <w:szCs w:val="24"/>
          <w:lang w:val="en" w:eastAsia="id-ID"/>
        </w:rPr>
      </w:pPr>
      <w:r w:rsidRPr="00F641D7">
        <w:rPr>
          <w:rFonts w:ascii="Times New Roman" w:hAnsi="Times New Roman" w:cs="Times New Roman"/>
          <w:color w:val="202124"/>
          <w:sz w:val="24"/>
          <w:szCs w:val="24"/>
          <w:lang w:val="en" w:eastAsia="id-ID"/>
        </w:rPr>
        <w:t>Based on table 4.10 shows a positive coefficient value of 0.336 with a sig value. 0.212 &gt; 0.05. Which means that H1 is rejected or liquidity (X1) has no effect on going concern audit opinion.</w:t>
      </w:r>
    </w:p>
    <w:p w14:paraId="4B5F5892" w14:textId="77777777" w:rsidR="00F641D7" w:rsidRPr="00F641D7" w:rsidRDefault="00F641D7" w:rsidP="00F641D7">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202124"/>
          <w:sz w:val="24"/>
          <w:szCs w:val="24"/>
          <w:lang w:val="en" w:eastAsia="id-ID"/>
        </w:rPr>
      </w:pPr>
      <w:r w:rsidRPr="00F641D7">
        <w:rPr>
          <w:rFonts w:ascii="Times New Roman" w:hAnsi="Times New Roman" w:cs="Times New Roman"/>
          <w:color w:val="202124"/>
          <w:sz w:val="24"/>
          <w:szCs w:val="24"/>
          <w:lang w:val="en" w:eastAsia="id-ID"/>
        </w:rPr>
        <w:t>Testing the Effect of Profitability on Going Concern Audit Opinions</w:t>
      </w:r>
    </w:p>
    <w:p w14:paraId="23D5C10B" w14:textId="77777777" w:rsidR="00F641D7" w:rsidRPr="00F641D7" w:rsidRDefault="00F641D7" w:rsidP="00F641D7">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202124"/>
          <w:sz w:val="24"/>
          <w:szCs w:val="24"/>
          <w:lang w:val="en" w:eastAsia="id-ID"/>
        </w:rPr>
      </w:pPr>
      <w:r w:rsidRPr="00F641D7">
        <w:rPr>
          <w:rFonts w:ascii="Times New Roman" w:hAnsi="Times New Roman" w:cs="Times New Roman"/>
          <w:color w:val="202124"/>
          <w:sz w:val="24"/>
          <w:szCs w:val="24"/>
          <w:lang w:val="en" w:eastAsia="id-ID"/>
        </w:rPr>
        <w:t>Based on table 4.10 shows a negative coefficient value of -9,800 with a sig value. 0.466 &gt; 0.05. Which means that H2 is rejected or profitability (X2) has no effect on going concern audit opinion.</w:t>
      </w:r>
    </w:p>
    <w:p w14:paraId="5A5B7AF7" w14:textId="77777777" w:rsidR="00F641D7" w:rsidRPr="00F641D7" w:rsidRDefault="00F641D7" w:rsidP="00F641D7">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202124"/>
          <w:sz w:val="24"/>
          <w:szCs w:val="24"/>
          <w:lang w:val="en" w:eastAsia="id-ID"/>
        </w:rPr>
      </w:pPr>
      <w:r w:rsidRPr="00F641D7">
        <w:rPr>
          <w:rFonts w:ascii="Times New Roman" w:hAnsi="Times New Roman" w:cs="Times New Roman"/>
          <w:color w:val="202124"/>
          <w:sz w:val="24"/>
          <w:szCs w:val="24"/>
          <w:lang w:val="en" w:eastAsia="id-ID"/>
        </w:rPr>
        <w:t>Testing the Effect of Solvency on Going Concern Audit Opinions</w:t>
      </w:r>
    </w:p>
    <w:p w14:paraId="028949E0" w14:textId="144332CB" w:rsidR="00F641D7" w:rsidRDefault="00F641D7" w:rsidP="00F641D7">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202124"/>
          <w:sz w:val="24"/>
          <w:szCs w:val="24"/>
          <w:lang w:val="en" w:eastAsia="id-ID"/>
        </w:rPr>
      </w:pPr>
      <w:r w:rsidRPr="00F641D7">
        <w:rPr>
          <w:rFonts w:ascii="Times New Roman" w:hAnsi="Times New Roman" w:cs="Times New Roman"/>
          <w:color w:val="202124"/>
          <w:sz w:val="24"/>
          <w:szCs w:val="24"/>
          <w:lang w:val="en" w:eastAsia="id-ID"/>
        </w:rPr>
        <w:t xml:space="preserve">Based on table 4.10 shows a positive coefficient value of 0.693 with a sig value. 0.410 &gt; 0.05. </w:t>
      </w:r>
      <w:proofErr w:type="gramStart"/>
      <w:r w:rsidRPr="00F641D7">
        <w:rPr>
          <w:rFonts w:ascii="Times New Roman" w:hAnsi="Times New Roman" w:cs="Times New Roman"/>
          <w:color w:val="202124"/>
          <w:sz w:val="24"/>
          <w:szCs w:val="24"/>
          <w:lang w:val="en" w:eastAsia="id-ID"/>
        </w:rPr>
        <w:t>So</w:t>
      </w:r>
      <w:proofErr w:type="gramEnd"/>
      <w:r w:rsidRPr="00F641D7">
        <w:rPr>
          <w:rFonts w:ascii="Times New Roman" w:hAnsi="Times New Roman" w:cs="Times New Roman"/>
          <w:color w:val="202124"/>
          <w:sz w:val="24"/>
          <w:szCs w:val="24"/>
          <w:lang w:val="en" w:eastAsia="id-ID"/>
        </w:rPr>
        <w:t xml:space="preserve"> solvency has no significant effect on going concern audit opinion. The conclusion is solvency has no significant effect on going concern audit opinion.</w:t>
      </w:r>
    </w:p>
    <w:p w14:paraId="71005B80" w14:textId="77777777" w:rsidR="00F641D7" w:rsidRPr="00F641D7" w:rsidRDefault="00F641D7" w:rsidP="00F641D7">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s="Times New Roman"/>
          <w:color w:val="202124"/>
          <w:sz w:val="24"/>
          <w:szCs w:val="24"/>
          <w:lang w:eastAsia="id-ID"/>
        </w:rPr>
      </w:pPr>
    </w:p>
    <w:p w14:paraId="31DB8FEF" w14:textId="77777777" w:rsidR="00F641D7" w:rsidRPr="00F641D7" w:rsidRDefault="00F641D7" w:rsidP="00F641D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bCs/>
          <w:color w:val="202124"/>
          <w:sz w:val="24"/>
          <w:szCs w:val="24"/>
          <w:lang w:val="en" w:eastAsia="id-ID"/>
        </w:rPr>
      </w:pPr>
      <w:r w:rsidRPr="00F641D7">
        <w:rPr>
          <w:b/>
          <w:bCs/>
          <w:color w:val="202124"/>
          <w:sz w:val="24"/>
          <w:szCs w:val="24"/>
          <w:lang w:val="en" w:eastAsia="id-ID"/>
        </w:rPr>
        <w:t>Simultaneous Effect Test (</w:t>
      </w:r>
      <w:proofErr w:type="spellStart"/>
      <w:r w:rsidRPr="00F641D7">
        <w:rPr>
          <w:b/>
          <w:bCs/>
          <w:color w:val="202124"/>
          <w:sz w:val="24"/>
          <w:szCs w:val="24"/>
          <w:lang w:val="en" w:eastAsia="id-ID"/>
        </w:rPr>
        <w:t>Omnimbus</w:t>
      </w:r>
      <w:proofErr w:type="spellEnd"/>
      <w:r w:rsidRPr="00F641D7">
        <w:rPr>
          <w:b/>
          <w:bCs/>
          <w:color w:val="202124"/>
          <w:sz w:val="24"/>
          <w:szCs w:val="24"/>
          <w:lang w:val="en" w:eastAsia="id-ID"/>
        </w:rPr>
        <w:t xml:space="preserve"> Test)</w:t>
      </w:r>
    </w:p>
    <w:p w14:paraId="1FD9048B" w14:textId="465D2E3A" w:rsidR="00F641D7" w:rsidRPr="00F641D7" w:rsidRDefault="00F641D7" w:rsidP="00F641D7">
      <w:pPr>
        <w:pStyle w:val="BodyText"/>
        <w:ind w:firstLine="720"/>
        <w:jc w:val="both"/>
        <w:rPr>
          <w:color w:val="202124"/>
          <w:lang w:val="en" w:eastAsia="id-ID"/>
        </w:rPr>
      </w:pPr>
      <w:r w:rsidRPr="00F641D7">
        <w:rPr>
          <w:color w:val="202124"/>
          <w:lang w:val="en" w:eastAsia="id-ID"/>
        </w:rPr>
        <w:t>Simultaneous testing aims to test whether the logistic regression model involving significant independent variables (simultaneously) is better than the previous model, which is partially.</w:t>
      </w:r>
      <w:r>
        <w:rPr>
          <w:color w:val="202124"/>
          <w:lang w:eastAsia="id-ID"/>
        </w:rPr>
        <w:t xml:space="preserve"> </w:t>
      </w:r>
      <w:r w:rsidRPr="00F641D7">
        <w:rPr>
          <w:color w:val="202124"/>
          <w:lang w:val="en" w:eastAsia="id-ID"/>
        </w:rPr>
        <w:t>If the probability value (Sig.) is less than the 0.05 level of significance, it can be concluded that the model involving the independent variables (simultaneously) is significantly (statistically) better in terms of matching the data than the simple model. And if the probability value (Sig.) is greater than the level of significance, it is concluded that the model involving the independent variables (simultaneously) is not significant (statistically) better in terms of matching the data than the simple model (</w:t>
      </w:r>
      <w:proofErr w:type="spellStart"/>
      <w:r w:rsidRPr="00F641D7">
        <w:rPr>
          <w:color w:val="202124"/>
          <w:lang w:val="en" w:eastAsia="id-ID"/>
        </w:rPr>
        <w:t>Harahap</w:t>
      </w:r>
      <w:proofErr w:type="spellEnd"/>
      <w:r w:rsidRPr="00F641D7">
        <w:rPr>
          <w:color w:val="202124"/>
          <w:lang w:val="en" w:eastAsia="id-ID"/>
        </w:rPr>
        <w:t>, 2019).</w:t>
      </w:r>
    </w:p>
    <w:p w14:paraId="275C504C" w14:textId="77777777" w:rsidR="00C40A65" w:rsidRPr="009B7B92" w:rsidRDefault="00C40A65" w:rsidP="00C40A65">
      <w:pPr>
        <w:pStyle w:val="BodyText"/>
        <w:ind w:firstLine="720"/>
        <w:jc w:val="both"/>
      </w:pPr>
    </w:p>
    <w:p w14:paraId="09131FB3" w14:textId="77777777" w:rsidR="00F641D7" w:rsidRDefault="00F641D7" w:rsidP="00F641D7">
      <w:pPr>
        <w:contextualSpacing/>
        <w:jc w:val="center"/>
        <w:rPr>
          <w:rFonts w:ascii="Arial" w:hAnsi="Arial" w:cs="Arial"/>
          <w:b/>
        </w:rPr>
      </w:pPr>
      <w:r>
        <w:rPr>
          <w:rFonts w:ascii="Arial" w:hAnsi="Arial" w:cs="Arial"/>
          <w:b/>
        </w:rPr>
        <w:t>Tabel 4.8</w:t>
      </w:r>
    </w:p>
    <w:p w14:paraId="3DB3D365" w14:textId="77777777" w:rsidR="00F641D7" w:rsidRPr="00545BA8" w:rsidRDefault="00F641D7" w:rsidP="00F641D7">
      <w:pPr>
        <w:contextualSpacing/>
        <w:jc w:val="center"/>
        <w:rPr>
          <w:rFonts w:ascii="Arial" w:hAnsi="Arial" w:cs="Arial"/>
          <w:b/>
        </w:rPr>
      </w:pPr>
      <w:r>
        <w:rPr>
          <w:rFonts w:ascii="Arial" w:hAnsi="Arial" w:cs="Arial"/>
          <w:b/>
        </w:rPr>
        <w:t>Uji Simultan</w:t>
      </w:r>
    </w:p>
    <w:tbl>
      <w:tblPr>
        <w:tblStyle w:val="TableGrid14"/>
        <w:tblW w:w="4934" w:type="dxa"/>
        <w:jc w:val="center"/>
        <w:tblLayout w:type="fixed"/>
        <w:tblLook w:val="0000" w:firstRow="0" w:lastRow="0" w:firstColumn="0" w:lastColumn="0" w:noHBand="0" w:noVBand="0"/>
      </w:tblPr>
      <w:tblGrid>
        <w:gridCol w:w="831"/>
        <w:gridCol w:w="1007"/>
        <w:gridCol w:w="1038"/>
        <w:gridCol w:w="1029"/>
        <w:gridCol w:w="1029"/>
      </w:tblGrid>
      <w:tr w:rsidR="00F641D7" w:rsidRPr="00545BA8" w14:paraId="3C4F99BA" w14:textId="77777777" w:rsidTr="00E77270">
        <w:trPr>
          <w:jc w:val="center"/>
        </w:trPr>
        <w:tc>
          <w:tcPr>
            <w:tcW w:w="4934" w:type="dxa"/>
            <w:gridSpan w:val="5"/>
          </w:tcPr>
          <w:p w14:paraId="36C19A77" w14:textId="77777777" w:rsidR="00F641D7" w:rsidRPr="00545BA8" w:rsidRDefault="00F641D7" w:rsidP="00E77270">
            <w:pPr>
              <w:adjustRightInd w:val="0"/>
              <w:ind w:left="60" w:right="60"/>
              <w:jc w:val="center"/>
              <w:rPr>
                <w:rFonts w:ascii="Arial" w:eastAsia="Calibri" w:hAnsi="Arial" w:cs="Arial"/>
                <w:b/>
                <w:color w:val="000000"/>
                <w:sz w:val="18"/>
                <w:szCs w:val="18"/>
                <w:lang w:val="id-ID"/>
              </w:rPr>
            </w:pPr>
            <w:r w:rsidRPr="00545BA8">
              <w:rPr>
                <w:rFonts w:ascii="Arial" w:eastAsia="Calibri" w:hAnsi="Arial" w:cs="Arial"/>
                <w:b/>
                <w:bCs/>
                <w:color w:val="000000"/>
                <w:sz w:val="18"/>
                <w:szCs w:val="18"/>
                <w:lang w:val="id-ID"/>
              </w:rPr>
              <w:t xml:space="preserve">Omnibus </w:t>
            </w:r>
            <w:proofErr w:type="spellStart"/>
            <w:r w:rsidRPr="00545BA8">
              <w:rPr>
                <w:rFonts w:ascii="Arial" w:eastAsia="Calibri" w:hAnsi="Arial" w:cs="Arial"/>
                <w:b/>
                <w:bCs/>
                <w:color w:val="000000"/>
                <w:sz w:val="18"/>
                <w:szCs w:val="18"/>
                <w:lang w:val="id-ID"/>
              </w:rPr>
              <w:t>Tests</w:t>
            </w:r>
            <w:proofErr w:type="spellEnd"/>
            <w:r w:rsidRPr="00545BA8">
              <w:rPr>
                <w:rFonts w:ascii="Arial" w:eastAsia="Calibri" w:hAnsi="Arial" w:cs="Arial"/>
                <w:b/>
                <w:bCs/>
                <w:color w:val="000000"/>
                <w:sz w:val="18"/>
                <w:szCs w:val="18"/>
                <w:lang w:val="id-ID"/>
              </w:rPr>
              <w:t xml:space="preserve"> </w:t>
            </w:r>
            <w:proofErr w:type="spellStart"/>
            <w:r w:rsidRPr="00545BA8">
              <w:rPr>
                <w:rFonts w:ascii="Arial" w:eastAsia="Calibri" w:hAnsi="Arial" w:cs="Arial"/>
                <w:b/>
                <w:bCs/>
                <w:color w:val="000000"/>
                <w:sz w:val="18"/>
                <w:szCs w:val="18"/>
                <w:lang w:val="id-ID"/>
              </w:rPr>
              <w:t>of</w:t>
            </w:r>
            <w:proofErr w:type="spellEnd"/>
            <w:r w:rsidRPr="00545BA8">
              <w:rPr>
                <w:rFonts w:ascii="Arial" w:eastAsia="Calibri" w:hAnsi="Arial" w:cs="Arial"/>
                <w:b/>
                <w:bCs/>
                <w:color w:val="000000"/>
                <w:sz w:val="18"/>
                <w:szCs w:val="18"/>
                <w:lang w:val="id-ID"/>
              </w:rPr>
              <w:t xml:space="preserve"> Model </w:t>
            </w:r>
            <w:proofErr w:type="spellStart"/>
            <w:r w:rsidRPr="00545BA8">
              <w:rPr>
                <w:rFonts w:ascii="Arial" w:eastAsia="Calibri" w:hAnsi="Arial" w:cs="Arial"/>
                <w:b/>
                <w:bCs/>
                <w:color w:val="000000"/>
                <w:sz w:val="18"/>
                <w:szCs w:val="18"/>
                <w:lang w:val="id-ID"/>
              </w:rPr>
              <w:t>Coefficients</w:t>
            </w:r>
            <w:proofErr w:type="spellEnd"/>
          </w:p>
        </w:tc>
      </w:tr>
      <w:tr w:rsidR="00F641D7" w:rsidRPr="00545BA8" w14:paraId="0273ADD7" w14:textId="77777777" w:rsidTr="00E77270">
        <w:trPr>
          <w:jc w:val="center"/>
        </w:trPr>
        <w:tc>
          <w:tcPr>
            <w:tcW w:w="1838" w:type="dxa"/>
            <w:gridSpan w:val="2"/>
          </w:tcPr>
          <w:p w14:paraId="54C94DE2" w14:textId="77777777" w:rsidR="00F641D7" w:rsidRPr="00545BA8" w:rsidRDefault="00F641D7" w:rsidP="00E77270">
            <w:pPr>
              <w:adjustRightInd w:val="0"/>
              <w:jc w:val="both"/>
              <w:rPr>
                <w:rFonts w:eastAsia="Calibri"/>
                <w:b/>
                <w:color w:val="000000"/>
                <w:sz w:val="18"/>
                <w:szCs w:val="18"/>
                <w:lang w:val="id-ID"/>
              </w:rPr>
            </w:pPr>
          </w:p>
        </w:tc>
        <w:tc>
          <w:tcPr>
            <w:tcW w:w="1038" w:type="dxa"/>
          </w:tcPr>
          <w:p w14:paraId="49BDC4B9" w14:textId="77777777" w:rsidR="00F641D7" w:rsidRPr="00545BA8" w:rsidRDefault="00F641D7" w:rsidP="00E77270">
            <w:pPr>
              <w:adjustRightInd w:val="0"/>
              <w:ind w:left="60" w:right="60"/>
              <w:jc w:val="center"/>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Chi-</w:t>
            </w:r>
            <w:proofErr w:type="spellStart"/>
            <w:r w:rsidRPr="00545BA8">
              <w:rPr>
                <w:rFonts w:ascii="Arial" w:eastAsia="Calibri" w:hAnsi="Arial" w:cs="Arial"/>
                <w:b/>
                <w:color w:val="000000"/>
                <w:sz w:val="18"/>
                <w:szCs w:val="18"/>
                <w:lang w:val="id-ID"/>
              </w:rPr>
              <w:t>square</w:t>
            </w:r>
            <w:proofErr w:type="spellEnd"/>
          </w:p>
        </w:tc>
        <w:tc>
          <w:tcPr>
            <w:tcW w:w="1029" w:type="dxa"/>
          </w:tcPr>
          <w:p w14:paraId="1030BD15" w14:textId="77777777" w:rsidR="00F641D7" w:rsidRPr="00545BA8" w:rsidRDefault="00F641D7" w:rsidP="00E77270">
            <w:pPr>
              <w:adjustRightInd w:val="0"/>
              <w:ind w:left="60" w:right="60"/>
              <w:jc w:val="center"/>
              <w:rPr>
                <w:rFonts w:ascii="Arial" w:eastAsia="Calibri" w:hAnsi="Arial" w:cs="Arial"/>
                <w:b/>
                <w:color w:val="000000"/>
                <w:sz w:val="18"/>
                <w:szCs w:val="18"/>
                <w:lang w:val="id-ID"/>
              </w:rPr>
            </w:pPr>
            <w:proofErr w:type="spellStart"/>
            <w:r w:rsidRPr="00545BA8">
              <w:rPr>
                <w:rFonts w:ascii="Arial" w:eastAsia="Calibri" w:hAnsi="Arial" w:cs="Arial"/>
                <w:b/>
                <w:color w:val="000000"/>
                <w:sz w:val="18"/>
                <w:szCs w:val="18"/>
                <w:lang w:val="id-ID"/>
              </w:rPr>
              <w:t>df</w:t>
            </w:r>
            <w:proofErr w:type="spellEnd"/>
          </w:p>
        </w:tc>
        <w:tc>
          <w:tcPr>
            <w:tcW w:w="1029" w:type="dxa"/>
          </w:tcPr>
          <w:p w14:paraId="38D29A3B" w14:textId="77777777" w:rsidR="00F641D7" w:rsidRPr="00545BA8" w:rsidRDefault="00F641D7" w:rsidP="00E77270">
            <w:pPr>
              <w:adjustRightInd w:val="0"/>
              <w:ind w:left="60" w:right="60"/>
              <w:jc w:val="center"/>
              <w:rPr>
                <w:rFonts w:ascii="Arial" w:eastAsia="Calibri" w:hAnsi="Arial" w:cs="Arial"/>
                <w:b/>
                <w:color w:val="000000"/>
                <w:sz w:val="18"/>
                <w:szCs w:val="18"/>
                <w:lang w:val="id-ID"/>
              </w:rPr>
            </w:pPr>
            <w:proofErr w:type="spellStart"/>
            <w:r w:rsidRPr="00545BA8">
              <w:rPr>
                <w:rFonts w:ascii="Arial" w:eastAsia="Calibri" w:hAnsi="Arial" w:cs="Arial"/>
                <w:b/>
                <w:color w:val="000000"/>
                <w:sz w:val="18"/>
                <w:szCs w:val="18"/>
                <w:lang w:val="id-ID"/>
              </w:rPr>
              <w:t>Sig</w:t>
            </w:r>
            <w:proofErr w:type="spellEnd"/>
            <w:r w:rsidRPr="00545BA8">
              <w:rPr>
                <w:rFonts w:ascii="Arial" w:eastAsia="Calibri" w:hAnsi="Arial" w:cs="Arial"/>
                <w:b/>
                <w:color w:val="000000"/>
                <w:sz w:val="18"/>
                <w:szCs w:val="18"/>
                <w:lang w:val="id-ID"/>
              </w:rPr>
              <w:t>.</w:t>
            </w:r>
          </w:p>
        </w:tc>
      </w:tr>
      <w:tr w:rsidR="00F641D7" w:rsidRPr="00545BA8" w14:paraId="3816DE43" w14:textId="77777777" w:rsidTr="00E77270">
        <w:trPr>
          <w:jc w:val="center"/>
        </w:trPr>
        <w:tc>
          <w:tcPr>
            <w:tcW w:w="831" w:type="dxa"/>
            <w:vMerge w:val="restart"/>
          </w:tcPr>
          <w:p w14:paraId="2AE0D3DE" w14:textId="77777777" w:rsidR="00F641D7" w:rsidRPr="00545BA8" w:rsidRDefault="00F641D7" w:rsidP="00E77270">
            <w:pPr>
              <w:adjustRightInd w:val="0"/>
              <w:ind w:left="60" w:right="60"/>
              <w:jc w:val="both"/>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Step 1</w:t>
            </w:r>
          </w:p>
        </w:tc>
        <w:tc>
          <w:tcPr>
            <w:tcW w:w="1007" w:type="dxa"/>
          </w:tcPr>
          <w:p w14:paraId="0E2CBF6D" w14:textId="77777777" w:rsidR="00F641D7" w:rsidRPr="00545BA8" w:rsidRDefault="00F641D7" w:rsidP="00E77270">
            <w:pPr>
              <w:adjustRightInd w:val="0"/>
              <w:ind w:left="60" w:right="60"/>
              <w:jc w:val="both"/>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Step</w:t>
            </w:r>
          </w:p>
        </w:tc>
        <w:tc>
          <w:tcPr>
            <w:tcW w:w="1038" w:type="dxa"/>
          </w:tcPr>
          <w:p w14:paraId="65B85F8F" w14:textId="77777777" w:rsidR="00F641D7" w:rsidRPr="00545BA8" w:rsidRDefault="00F641D7" w:rsidP="00E77270">
            <w:pPr>
              <w:adjustRightInd w:val="0"/>
              <w:ind w:left="60" w:right="60"/>
              <w:jc w:val="right"/>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38.432</w:t>
            </w:r>
          </w:p>
        </w:tc>
        <w:tc>
          <w:tcPr>
            <w:tcW w:w="1029" w:type="dxa"/>
          </w:tcPr>
          <w:p w14:paraId="6D36DC2B" w14:textId="77777777" w:rsidR="00F641D7" w:rsidRPr="00545BA8" w:rsidRDefault="00F641D7" w:rsidP="00E77270">
            <w:pPr>
              <w:adjustRightInd w:val="0"/>
              <w:ind w:left="60" w:right="60"/>
              <w:jc w:val="right"/>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3</w:t>
            </w:r>
          </w:p>
        </w:tc>
        <w:tc>
          <w:tcPr>
            <w:tcW w:w="1029" w:type="dxa"/>
          </w:tcPr>
          <w:p w14:paraId="6CA95B0C" w14:textId="77777777" w:rsidR="00F641D7" w:rsidRPr="00545BA8" w:rsidRDefault="00F641D7" w:rsidP="00E77270">
            <w:pPr>
              <w:adjustRightInd w:val="0"/>
              <w:ind w:left="60" w:right="60"/>
              <w:jc w:val="right"/>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.000</w:t>
            </w:r>
          </w:p>
        </w:tc>
      </w:tr>
      <w:tr w:rsidR="00F641D7" w:rsidRPr="00545BA8" w14:paraId="2194C1C7" w14:textId="77777777" w:rsidTr="00E77270">
        <w:trPr>
          <w:jc w:val="center"/>
        </w:trPr>
        <w:tc>
          <w:tcPr>
            <w:tcW w:w="831" w:type="dxa"/>
            <w:vMerge/>
          </w:tcPr>
          <w:p w14:paraId="60597067" w14:textId="77777777" w:rsidR="00F641D7" w:rsidRPr="00545BA8" w:rsidRDefault="00F641D7" w:rsidP="00E77270">
            <w:pPr>
              <w:adjustRightInd w:val="0"/>
              <w:jc w:val="both"/>
              <w:rPr>
                <w:rFonts w:ascii="Arial" w:eastAsia="Calibri" w:hAnsi="Arial" w:cs="Arial"/>
                <w:b/>
                <w:color w:val="000000"/>
                <w:sz w:val="18"/>
                <w:szCs w:val="18"/>
                <w:lang w:val="id-ID"/>
              </w:rPr>
            </w:pPr>
          </w:p>
        </w:tc>
        <w:tc>
          <w:tcPr>
            <w:tcW w:w="1007" w:type="dxa"/>
          </w:tcPr>
          <w:p w14:paraId="623A04DE" w14:textId="77777777" w:rsidR="00F641D7" w:rsidRPr="00545BA8" w:rsidRDefault="00F641D7" w:rsidP="00E77270">
            <w:pPr>
              <w:adjustRightInd w:val="0"/>
              <w:ind w:left="60" w:right="60"/>
              <w:jc w:val="both"/>
              <w:rPr>
                <w:rFonts w:ascii="Arial" w:eastAsia="Calibri" w:hAnsi="Arial" w:cs="Arial"/>
                <w:b/>
                <w:color w:val="000000"/>
                <w:sz w:val="18"/>
                <w:szCs w:val="18"/>
                <w:lang w:val="id-ID"/>
              </w:rPr>
            </w:pPr>
            <w:proofErr w:type="spellStart"/>
            <w:r w:rsidRPr="00545BA8">
              <w:rPr>
                <w:rFonts w:ascii="Arial" w:eastAsia="Calibri" w:hAnsi="Arial" w:cs="Arial"/>
                <w:b/>
                <w:color w:val="000000"/>
                <w:sz w:val="18"/>
                <w:szCs w:val="18"/>
                <w:lang w:val="id-ID"/>
              </w:rPr>
              <w:t>Block</w:t>
            </w:r>
            <w:proofErr w:type="spellEnd"/>
          </w:p>
        </w:tc>
        <w:tc>
          <w:tcPr>
            <w:tcW w:w="1038" w:type="dxa"/>
          </w:tcPr>
          <w:p w14:paraId="66D9B69A" w14:textId="77777777" w:rsidR="00F641D7" w:rsidRPr="00545BA8" w:rsidRDefault="00F641D7" w:rsidP="00E77270">
            <w:pPr>
              <w:adjustRightInd w:val="0"/>
              <w:ind w:left="60" w:right="60"/>
              <w:jc w:val="right"/>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38.432</w:t>
            </w:r>
          </w:p>
        </w:tc>
        <w:tc>
          <w:tcPr>
            <w:tcW w:w="1029" w:type="dxa"/>
          </w:tcPr>
          <w:p w14:paraId="493F18BF" w14:textId="77777777" w:rsidR="00F641D7" w:rsidRPr="00545BA8" w:rsidRDefault="00F641D7" w:rsidP="00E77270">
            <w:pPr>
              <w:adjustRightInd w:val="0"/>
              <w:ind w:left="60" w:right="60"/>
              <w:jc w:val="right"/>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3</w:t>
            </w:r>
          </w:p>
        </w:tc>
        <w:tc>
          <w:tcPr>
            <w:tcW w:w="1029" w:type="dxa"/>
          </w:tcPr>
          <w:p w14:paraId="14A53952" w14:textId="77777777" w:rsidR="00F641D7" w:rsidRPr="00545BA8" w:rsidRDefault="00F641D7" w:rsidP="00E77270">
            <w:pPr>
              <w:adjustRightInd w:val="0"/>
              <w:ind w:left="60" w:right="60"/>
              <w:jc w:val="right"/>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.000</w:t>
            </w:r>
          </w:p>
        </w:tc>
      </w:tr>
      <w:tr w:rsidR="00F641D7" w:rsidRPr="00545BA8" w14:paraId="05945AA0" w14:textId="77777777" w:rsidTr="00E77270">
        <w:trPr>
          <w:jc w:val="center"/>
        </w:trPr>
        <w:tc>
          <w:tcPr>
            <w:tcW w:w="831" w:type="dxa"/>
            <w:vMerge/>
          </w:tcPr>
          <w:p w14:paraId="62DAB19A" w14:textId="77777777" w:rsidR="00F641D7" w:rsidRPr="00545BA8" w:rsidRDefault="00F641D7" w:rsidP="00E77270">
            <w:pPr>
              <w:adjustRightInd w:val="0"/>
              <w:jc w:val="both"/>
              <w:rPr>
                <w:rFonts w:ascii="Arial" w:eastAsia="Calibri" w:hAnsi="Arial" w:cs="Arial"/>
                <w:b/>
                <w:color w:val="000000"/>
                <w:sz w:val="18"/>
                <w:szCs w:val="18"/>
                <w:lang w:val="id-ID"/>
              </w:rPr>
            </w:pPr>
          </w:p>
        </w:tc>
        <w:tc>
          <w:tcPr>
            <w:tcW w:w="1007" w:type="dxa"/>
          </w:tcPr>
          <w:p w14:paraId="7ADC57A1" w14:textId="77777777" w:rsidR="00F641D7" w:rsidRPr="00545BA8" w:rsidRDefault="00F641D7" w:rsidP="00E77270">
            <w:pPr>
              <w:adjustRightInd w:val="0"/>
              <w:ind w:left="60" w:right="60"/>
              <w:jc w:val="both"/>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Model</w:t>
            </w:r>
          </w:p>
        </w:tc>
        <w:tc>
          <w:tcPr>
            <w:tcW w:w="1038" w:type="dxa"/>
          </w:tcPr>
          <w:p w14:paraId="721AB0E6" w14:textId="77777777" w:rsidR="00F641D7" w:rsidRPr="00545BA8" w:rsidRDefault="00F641D7" w:rsidP="00E77270">
            <w:pPr>
              <w:adjustRightInd w:val="0"/>
              <w:ind w:left="60" w:right="60"/>
              <w:jc w:val="right"/>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38.432</w:t>
            </w:r>
          </w:p>
        </w:tc>
        <w:tc>
          <w:tcPr>
            <w:tcW w:w="1029" w:type="dxa"/>
          </w:tcPr>
          <w:p w14:paraId="050159AD" w14:textId="77777777" w:rsidR="00F641D7" w:rsidRPr="00545BA8" w:rsidRDefault="00F641D7" w:rsidP="00E77270">
            <w:pPr>
              <w:adjustRightInd w:val="0"/>
              <w:ind w:left="60" w:right="60"/>
              <w:jc w:val="right"/>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3</w:t>
            </w:r>
          </w:p>
        </w:tc>
        <w:tc>
          <w:tcPr>
            <w:tcW w:w="1029" w:type="dxa"/>
          </w:tcPr>
          <w:p w14:paraId="1FD9E78A" w14:textId="77777777" w:rsidR="00F641D7" w:rsidRPr="00545BA8" w:rsidRDefault="00F641D7" w:rsidP="00E77270">
            <w:pPr>
              <w:adjustRightInd w:val="0"/>
              <w:ind w:left="60" w:right="60"/>
              <w:jc w:val="right"/>
              <w:rPr>
                <w:rFonts w:ascii="Arial" w:eastAsia="Calibri" w:hAnsi="Arial" w:cs="Arial"/>
                <w:b/>
                <w:color w:val="000000"/>
                <w:sz w:val="18"/>
                <w:szCs w:val="18"/>
                <w:lang w:val="id-ID"/>
              </w:rPr>
            </w:pPr>
            <w:r w:rsidRPr="00545BA8">
              <w:rPr>
                <w:rFonts w:ascii="Arial" w:eastAsia="Calibri" w:hAnsi="Arial" w:cs="Arial"/>
                <w:b/>
                <w:color w:val="000000"/>
                <w:sz w:val="18"/>
                <w:szCs w:val="18"/>
                <w:lang w:val="id-ID"/>
              </w:rPr>
              <w:t>.000</w:t>
            </w:r>
          </w:p>
        </w:tc>
      </w:tr>
    </w:tbl>
    <w:p w14:paraId="5B5A115E" w14:textId="7FC33F55" w:rsidR="00F641D7" w:rsidRDefault="00F641D7" w:rsidP="00E45AAD">
      <w:pPr>
        <w:pStyle w:val="BodyText"/>
        <w:ind w:left="2160" w:firstLine="720"/>
        <w:jc w:val="both"/>
        <w:rPr>
          <w:b/>
          <w:bCs/>
        </w:rPr>
      </w:pPr>
    </w:p>
    <w:p w14:paraId="00619F09" w14:textId="3C1ED930" w:rsidR="00F641D7" w:rsidRDefault="00F641D7" w:rsidP="00E45AAD">
      <w:pPr>
        <w:pStyle w:val="BodyText"/>
        <w:ind w:left="2160" w:firstLine="720"/>
        <w:jc w:val="both"/>
        <w:rPr>
          <w:b/>
          <w:bCs/>
        </w:rPr>
      </w:pPr>
    </w:p>
    <w:p w14:paraId="067ED3C5" w14:textId="4A8ED973" w:rsidR="00F641D7" w:rsidRDefault="00F641D7" w:rsidP="00E45AAD">
      <w:pPr>
        <w:pStyle w:val="BodyText"/>
        <w:ind w:left="2160" w:firstLine="720"/>
        <w:jc w:val="both"/>
        <w:rPr>
          <w:b/>
          <w:bCs/>
        </w:rPr>
      </w:pPr>
    </w:p>
    <w:p w14:paraId="6590783E" w14:textId="12B9630A" w:rsidR="00FE0470" w:rsidRPr="00531922" w:rsidRDefault="00FE0470" w:rsidP="00531922">
      <w:pPr>
        <w:pStyle w:val="ListParagraph"/>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ascii="Times New Roman" w:hAnsi="Times New Roman" w:cs="Times New Roman"/>
          <w:b/>
          <w:bCs/>
          <w:color w:val="202124"/>
          <w:sz w:val="24"/>
          <w:szCs w:val="24"/>
          <w:lang w:val="en" w:eastAsia="id-ID"/>
        </w:rPr>
      </w:pPr>
      <w:r w:rsidRPr="00531922">
        <w:rPr>
          <w:rFonts w:ascii="Times New Roman" w:hAnsi="Times New Roman" w:cs="Times New Roman"/>
          <w:b/>
          <w:bCs/>
          <w:color w:val="202124"/>
          <w:sz w:val="24"/>
          <w:szCs w:val="24"/>
          <w:lang w:val="en" w:eastAsia="id-ID"/>
        </w:rPr>
        <w:t>Effect of Liquidity on Going Concern Audit Opinion</w:t>
      </w:r>
    </w:p>
    <w:p w14:paraId="2D754294" w14:textId="04C0174F" w:rsidR="00FE0470" w:rsidRDefault="00FE0470" w:rsidP="00FE0470">
      <w:pPr>
        <w:pStyle w:val="BodyText"/>
        <w:ind w:firstLine="720"/>
        <w:jc w:val="both"/>
        <w:rPr>
          <w:color w:val="202124"/>
          <w:lang w:val="en" w:eastAsia="id-ID"/>
        </w:rPr>
      </w:pPr>
      <w:r w:rsidRPr="00FE0470">
        <w:rPr>
          <w:color w:val="202124"/>
          <w:lang w:val="en" w:eastAsia="id-ID"/>
        </w:rPr>
        <w:t>Liquidity is useful for evaluating the ability to meet short-term obligations. Specifically, this ratio is used to measure the availability of funds owned by the company to meet its short-term obligations.</w:t>
      </w:r>
      <w:r>
        <w:rPr>
          <w:color w:val="202124"/>
          <w:lang w:eastAsia="id-ID"/>
        </w:rPr>
        <w:t xml:space="preserve"> </w:t>
      </w:r>
      <w:r w:rsidRPr="00FE0470">
        <w:rPr>
          <w:color w:val="202124"/>
          <w:lang w:val="en" w:eastAsia="id-ID"/>
        </w:rPr>
        <w:t>Based on the regression model equation formed above, it can be explained that the first hypothesis is rejected, namely liquidity has an effect on going-concern audit opinion. In this study, liquidity is measured using the current ratio. Based on the results of the logistic regression test, it shows that the Liquidity variable (X1) obtained a coefficient of 0.336 with a significance level of 0.212. The significance value is greater than 0.05 (0.212 &lt; 0.05). These results indicate that liquidity has no effect on going concern audit opinion, so it can be decided to accept H0 and reject H1. The conclusion is that liquidity has no significant effect on going concern audit opinions on retail trade sub-sector companies listed on the Indonesia Stock Exchange (IDX) for the 2015-2018 period.</w:t>
      </w:r>
    </w:p>
    <w:p w14:paraId="2F57FCBB" w14:textId="77777777" w:rsidR="00FE0470" w:rsidRPr="00FE0470" w:rsidRDefault="00FE0470" w:rsidP="00FE0470">
      <w:pPr>
        <w:pStyle w:val="BodyText"/>
        <w:ind w:firstLine="720"/>
        <w:jc w:val="both"/>
        <w:rPr>
          <w:color w:val="202124"/>
          <w:lang w:eastAsia="id-ID"/>
        </w:rPr>
      </w:pPr>
      <w:r w:rsidRPr="00FE0470">
        <w:rPr>
          <w:color w:val="202124"/>
          <w:lang w:val="en" w:eastAsia="id-ID"/>
        </w:rPr>
        <w:t xml:space="preserve">These results are in line with research conducted by </w:t>
      </w:r>
      <w:proofErr w:type="spellStart"/>
      <w:r w:rsidRPr="00FE0470">
        <w:rPr>
          <w:color w:val="202124"/>
          <w:lang w:val="en" w:eastAsia="id-ID"/>
        </w:rPr>
        <w:t>Pasaribu</w:t>
      </w:r>
      <w:proofErr w:type="spellEnd"/>
      <w:r w:rsidRPr="00FE0470">
        <w:rPr>
          <w:color w:val="202124"/>
          <w:lang w:val="en" w:eastAsia="id-ID"/>
        </w:rPr>
        <w:t xml:space="preserve"> (2015), Rahman and Ahmad (2018), Kurniawan, et al (2019) and </w:t>
      </w:r>
      <w:proofErr w:type="spellStart"/>
      <w:r w:rsidRPr="00FE0470">
        <w:rPr>
          <w:color w:val="202124"/>
          <w:lang w:val="en" w:eastAsia="id-ID"/>
        </w:rPr>
        <w:t>Ariani</w:t>
      </w:r>
      <w:proofErr w:type="spellEnd"/>
      <w:r w:rsidRPr="00FE0470">
        <w:rPr>
          <w:color w:val="202124"/>
          <w:lang w:val="en" w:eastAsia="id-ID"/>
        </w:rPr>
        <w:t xml:space="preserve"> (2019). This shows that the company's liquidity level does not have a major influence in providing a going concern audit opinion. Auditors do not only look at their liquidity capabilities but also pay attention to other factors that affect the company's finances. The company can have other potentials in maintaining its business continuity, such as obtaining new capital supplies or having the ability to generate good profits in the following year.</w:t>
      </w:r>
    </w:p>
    <w:p w14:paraId="584AE6AC" w14:textId="77777777" w:rsidR="00FE0470" w:rsidRPr="00FE0470" w:rsidRDefault="00FE0470" w:rsidP="00FE0470">
      <w:pPr>
        <w:pStyle w:val="BodyText"/>
        <w:ind w:firstLine="720"/>
        <w:jc w:val="both"/>
        <w:rPr>
          <w:color w:val="202124"/>
          <w:lang w:val="en" w:eastAsia="id-ID"/>
        </w:rPr>
      </w:pPr>
    </w:p>
    <w:p w14:paraId="48033D37" w14:textId="109D892E" w:rsidR="00531922" w:rsidRPr="00531922" w:rsidRDefault="00531922" w:rsidP="00531922">
      <w:pPr>
        <w:pStyle w:val="ListParagraph"/>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ascii="Times New Roman" w:hAnsi="Times New Roman" w:cs="Times New Roman"/>
          <w:b/>
          <w:bCs/>
          <w:sz w:val="24"/>
          <w:szCs w:val="24"/>
          <w:lang w:val="en" w:eastAsia="id-ID"/>
        </w:rPr>
      </w:pPr>
      <w:r w:rsidRPr="00531922">
        <w:rPr>
          <w:rFonts w:ascii="Times New Roman" w:hAnsi="Times New Roman" w:cs="Times New Roman"/>
          <w:b/>
          <w:bCs/>
          <w:sz w:val="24"/>
          <w:szCs w:val="24"/>
          <w:lang w:val="en" w:eastAsia="id-ID"/>
        </w:rPr>
        <w:t>The Effect of Profitability on Going Concern Audit Opinion</w:t>
      </w:r>
    </w:p>
    <w:p w14:paraId="04D389F7" w14:textId="1D1D109C" w:rsidR="00531922" w:rsidRPr="00531922" w:rsidRDefault="00531922" w:rsidP="006D6206">
      <w:pPr>
        <w:pStyle w:val="BodyText"/>
        <w:ind w:firstLine="720"/>
        <w:jc w:val="both"/>
        <w:rPr>
          <w:color w:val="202124"/>
          <w:lang w:val="en" w:eastAsia="id-ID"/>
        </w:rPr>
      </w:pPr>
      <w:r w:rsidRPr="00531922">
        <w:rPr>
          <w:color w:val="202124"/>
          <w:lang w:val="en" w:eastAsia="id-ID"/>
        </w:rPr>
        <w:t>Profitability is useful for evaluating the company's ability to benefit from the use of its capital. Specifically, this ratio is used to measure the use of funds owned by the company to obtain profits.</w:t>
      </w:r>
      <w:r w:rsidR="006D6206">
        <w:rPr>
          <w:color w:val="202124"/>
          <w:lang w:eastAsia="id-ID"/>
        </w:rPr>
        <w:t xml:space="preserve"> </w:t>
      </w:r>
      <w:r w:rsidRPr="00531922">
        <w:rPr>
          <w:color w:val="202124"/>
          <w:lang w:val="en" w:eastAsia="id-ID"/>
        </w:rPr>
        <w:t>Based on the regression model equation formed above, it can be explained that the second</w:t>
      </w:r>
      <w:r w:rsidRPr="00531922">
        <w:rPr>
          <w:rFonts w:ascii="inherit" w:hAnsi="inherit" w:cs="Courier New"/>
          <w:color w:val="202124"/>
          <w:sz w:val="42"/>
          <w:szCs w:val="42"/>
          <w:lang w:val="en" w:eastAsia="id-ID"/>
        </w:rPr>
        <w:t xml:space="preserve"> </w:t>
      </w:r>
      <w:r w:rsidRPr="00531922">
        <w:rPr>
          <w:color w:val="202124"/>
          <w:lang w:val="en" w:eastAsia="id-ID"/>
        </w:rPr>
        <w:t>hypothesis is rejected, namely profitability has an effect on going-concern audit opinion. In this study, profitability is measured using return on assets (ROA). Based on the results of the logistic regression test showed that the profitability variable (X2) obtained a coefficient of -9.800 with a significance level of 0.466. The significance value is greater than 0.05 (0.466 &lt; 0.05). These results indicate that profitability has no effect on going concern audit opinion, so it can be decided to accept H0 and reject H2. The conclusion is that profitability has no significant effect on going concern audit opinions on retail trade sub-sector companies listed on the Indonesia Stock Exchange (IDX) for the 2015-2018 period.</w:t>
      </w:r>
    </w:p>
    <w:p w14:paraId="075414C2" w14:textId="77777777" w:rsidR="00097865" w:rsidRPr="00097865" w:rsidRDefault="00097865" w:rsidP="00097865">
      <w:pPr>
        <w:pStyle w:val="BodyText"/>
        <w:ind w:firstLine="720"/>
        <w:jc w:val="both"/>
        <w:rPr>
          <w:color w:val="202124"/>
          <w:lang w:eastAsia="id-ID"/>
        </w:rPr>
      </w:pPr>
      <w:r w:rsidRPr="00097865">
        <w:rPr>
          <w:color w:val="202124"/>
          <w:lang w:val="en" w:eastAsia="id-ID"/>
        </w:rPr>
        <w:t xml:space="preserve">These results are in line with research conducted by </w:t>
      </w:r>
      <w:proofErr w:type="spellStart"/>
      <w:r w:rsidRPr="00097865">
        <w:rPr>
          <w:color w:val="202124"/>
          <w:lang w:val="en" w:eastAsia="id-ID"/>
        </w:rPr>
        <w:t>Pasaribu</w:t>
      </w:r>
      <w:proofErr w:type="spellEnd"/>
      <w:r w:rsidRPr="00097865">
        <w:rPr>
          <w:color w:val="202124"/>
          <w:lang w:val="en" w:eastAsia="id-ID"/>
        </w:rPr>
        <w:t xml:space="preserve"> (2015) and Kurniawan, et al (2019). This shows that the auditor does not only consider the profitability ratio but also sees other factors such as other potential bankruptcy and high profitability does not always reflect the good performance of the company.</w:t>
      </w:r>
    </w:p>
    <w:p w14:paraId="15AF9C39" w14:textId="755FD73F" w:rsidR="00CA1C16" w:rsidRPr="00CA1C16" w:rsidRDefault="00CA1C16" w:rsidP="00CA1C16">
      <w:pPr>
        <w:pStyle w:val="ListParagraph"/>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ascii="Times New Roman" w:hAnsi="Times New Roman" w:cs="Times New Roman"/>
          <w:b/>
          <w:bCs/>
          <w:color w:val="202124"/>
          <w:sz w:val="24"/>
          <w:szCs w:val="24"/>
          <w:lang w:val="en" w:eastAsia="id-ID"/>
        </w:rPr>
      </w:pPr>
      <w:r w:rsidRPr="00CA1C16">
        <w:rPr>
          <w:rFonts w:ascii="Times New Roman" w:hAnsi="Times New Roman" w:cs="Times New Roman"/>
          <w:b/>
          <w:bCs/>
          <w:color w:val="202124"/>
          <w:sz w:val="24"/>
          <w:szCs w:val="24"/>
          <w:lang w:val="en" w:eastAsia="id-ID"/>
        </w:rPr>
        <w:t>The Effect of Solvency on Going Concern Audit Opinion</w:t>
      </w:r>
    </w:p>
    <w:p w14:paraId="2A93F8AB" w14:textId="36EBD1D4" w:rsidR="00CA1C16" w:rsidRDefault="00CA1C16" w:rsidP="00E3457D">
      <w:pPr>
        <w:pStyle w:val="BodyText"/>
        <w:ind w:firstLine="720"/>
        <w:jc w:val="both"/>
        <w:rPr>
          <w:color w:val="202124"/>
          <w:lang w:val="en" w:eastAsia="id-ID"/>
        </w:rPr>
      </w:pPr>
      <w:r w:rsidRPr="00CA1C16">
        <w:rPr>
          <w:color w:val="202124"/>
          <w:lang w:val="en" w:eastAsia="id-ID"/>
        </w:rPr>
        <w:t>Solvency is useful for evaluating how much the company's funding needs are financed by debt. Specifically, this ratio is used to measure the company's strength in meeting long-term obligations.</w:t>
      </w:r>
      <w:r w:rsidR="00E3457D">
        <w:rPr>
          <w:color w:val="202124"/>
          <w:lang w:eastAsia="id-ID"/>
        </w:rPr>
        <w:t xml:space="preserve"> </w:t>
      </w:r>
      <w:r w:rsidRPr="00CA1C16">
        <w:rPr>
          <w:color w:val="202124"/>
          <w:lang w:val="en" w:eastAsia="id-ID"/>
        </w:rPr>
        <w:t xml:space="preserve">Based on the regression model equation formed above, it can be explained that the third hypothesis is rejected, namely solvency has an effect on going-concern audit opinion. In this study, profitability is measured using the debt to assets ratio. Based on the results of the logistic regression test showed that the solvency variable (X3) obtained a coefficient of 0.693 with a significance level of 0.410. The significance value is greater than 0.05 (0.410 &lt; 0.05). These results indicate that solvency has no effect on going concern audit opinion, so it can be </w:t>
      </w:r>
      <w:r w:rsidRPr="00CA1C16">
        <w:rPr>
          <w:color w:val="202124"/>
          <w:lang w:val="en" w:eastAsia="id-ID"/>
        </w:rPr>
        <w:lastRenderedPageBreak/>
        <w:t>decided to accept H0 and reject H3. The conclusion is that solvency has no significant effect on going concern audit opinions on retail trade sub-sector companies listed on the Indonesia Stock Exchange (IDX) for the 2015-2018 period.</w:t>
      </w:r>
    </w:p>
    <w:p w14:paraId="5D763101" w14:textId="77777777" w:rsidR="00B80594" w:rsidRPr="00B80594" w:rsidRDefault="00B80594" w:rsidP="00B80594">
      <w:pPr>
        <w:pStyle w:val="BodyText"/>
        <w:ind w:firstLine="720"/>
        <w:jc w:val="both"/>
        <w:rPr>
          <w:color w:val="202124"/>
          <w:lang w:eastAsia="id-ID"/>
        </w:rPr>
      </w:pPr>
      <w:r w:rsidRPr="00B80594">
        <w:rPr>
          <w:color w:val="202124"/>
          <w:lang w:val="en" w:eastAsia="id-ID"/>
        </w:rPr>
        <w:t>These results are in line with research conducted by Kurniawan, et al (2019). This shows that the solvency ratio used, namely the debt to asset ratio, has no effect on the acceptance of going concern audit opinions, even though the company's debt condition is high, the company has always good performance and increases profits every year, the auditor will consider the impact of company performance so that the debt condition a high company is not the basis for the auditor to give a going concern audit opinion</w:t>
      </w:r>
    </w:p>
    <w:p w14:paraId="6538E30C" w14:textId="77777777" w:rsidR="00F641D7" w:rsidRDefault="00F641D7" w:rsidP="00FE0470">
      <w:pPr>
        <w:pStyle w:val="BodyText"/>
        <w:ind w:firstLine="720"/>
        <w:jc w:val="both"/>
        <w:rPr>
          <w:b/>
          <w:bCs/>
        </w:rPr>
      </w:pPr>
    </w:p>
    <w:p w14:paraId="103F1CB0" w14:textId="11A6D450" w:rsidR="00B80594" w:rsidRPr="00B80594" w:rsidRDefault="00B80594" w:rsidP="00B80594">
      <w:pPr>
        <w:pStyle w:val="ListParagraph"/>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rPr>
          <w:rFonts w:ascii="Times New Roman" w:hAnsi="Times New Roman" w:cs="Times New Roman"/>
          <w:b/>
          <w:bCs/>
          <w:color w:val="202124"/>
          <w:sz w:val="24"/>
          <w:szCs w:val="24"/>
          <w:lang w:eastAsia="id-ID"/>
        </w:rPr>
      </w:pPr>
      <w:r w:rsidRPr="00B80594">
        <w:rPr>
          <w:rFonts w:ascii="Times New Roman" w:hAnsi="Times New Roman" w:cs="Times New Roman"/>
          <w:b/>
          <w:bCs/>
          <w:color w:val="202124"/>
          <w:sz w:val="24"/>
          <w:szCs w:val="24"/>
          <w:lang w:val="en" w:eastAsia="id-ID"/>
        </w:rPr>
        <w:t>Effect of Liquidity, Profitability and Solvency on Going Concern Audit Opinion</w:t>
      </w:r>
    </w:p>
    <w:p w14:paraId="49B356A3" w14:textId="77777777" w:rsidR="00B80594" w:rsidRPr="00B80594" w:rsidRDefault="00B80594" w:rsidP="00B80594">
      <w:pPr>
        <w:pStyle w:val="BodyText"/>
        <w:ind w:firstLine="720"/>
        <w:jc w:val="both"/>
        <w:rPr>
          <w:color w:val="202124"/>
          <w:lang w:val="en" w:eastAsia="id-ID"/>
        </w:rPr>
      </w:pPr>
      <w:r w:rsidRPr="00B80594">
        <w:rPr>
          <w:color w:val="202124"/>
          <w:lang w:val="en" w:eastAsia="id-ID"/>
        </w:rPr>
        <w:t xml:space="preserve">Based on the regression model equation formed above, it can be explained that the fourth hypothesis is accepted, namely liquidity, profitability and solvency which affect going concern audit opinion. Based on the results of the logistic regression test showed that the variables of liquidity, profitability and solvency obtained a significance value less than 0.05 (0.000 &lt;0.05). These results indicate that liquidity, profitability and solvency affect the going concern audit opinion, so it can be decided to accept H4 and reject H0. The </w:t>
      </w:r>
      <w:proofErr w:type="spellStart"/>
      <w:r w:rsidRPr="00B80594">
        <w:rPr>
          <w:color w:val="202124"/>
          <w:lang w:val="en" w:eastAsia="id-ID"/>
        </w:rPr>
        <w:t>Nagelkerke</w:t>
      </w:r>
      <w:proofErr w:type="spellEnd"/>
      <w:r w:rsidRPr="00B80594">
        <w:rPr>
          <w:color w:val="202124"/>
          <w:lang w:val="en" w:eastAsia="id-ID"/>
        </w:rPr>
        <w:t xml:space="preserve"> R Square value is 0.890, which means that the going concern audit opinion variable or the dependent variable can be explained by the independent variables, namely liquidity, profitability and solvency of 89% and the remaining 11% is explained by variables outside the research model. The conclusion is that liquidity, profitability and solvency have a significant effect on going concern audit opinions on retail trade sub-sector companies listed on the Indonesia Stock Exchange (IDX) for the 2015-2018 period.</w:t>
      </w:r>
    </w:p>
    <w:p w14:paraId="000F861B" w14:textId="77777777" w:rsidR="00B80594" w:rsidRPr="00B80594" w:rsidRDefault="00B80594" w:rsidP="00B80594">
      <w:pPr>
        <w:pStyle w:val="BodyText"/>
        <w:ind w:firstLine="720"/>
        <w:jc w:val="both"/>
        <w:rPr>
          <w:color w:val="202124"/>
          <w:lang w:eastAsia="id-ID"/>
        </w:rPr>
      </w:pPr>
      <w:r w:rsidRPr="00B80594">
        <w:rPr>
          <w:color w:val="202124"/>
          <w:lang w:val="en" w:eastAsia="id-ID"/>
        </w:rPr>
        <w:t xml:space="preserve">These results are in line with research conducted by </w:t>
      </w:r>
      <w:proofErr w:type="spellStart"/>
      <w:r w:rsidRPr="00B80594">
        <w:rPr>
          <w:color w:val="202124"/>
          <w:lang w:val="en" w:eastAsia="id-ID"/>
        </w:rPr>
        <w:t>Haryani</w:t>
      </w:r>
      <w:proofErr w:type="spellEnd"/>
      <w:r w:rsidRPr="00B80594">
        <w:rPr>
          <w:color w:val="202124"/>
          <w:lang w:val="en" w:eastAsia="id-ID"/>
        </w:rPr>
        <w:t xml:space="preserve"> (2019) that jointly profitability, liquidity and solvency affect the auditor in providing a going concern audit opinion. Because financial performance is interrelated with each other so that it strengthens an auditor to provide a going concern audit opinion.</w:t>
      </w:r>
    </w:p>
    <w:p w14:paraId="20668159" w14:textId="77777777" w:rsidR="009B7B92" w:rsidRDefault="009B7B92" w:rsidP="009B7B92">
      <w:pPr>
        <w:pStyle w:val="BodyText"/>
        <w:ind w:firstLine="851"/>
        <w:jc w:val="both"/>
      </w:pPr>
    </w:p>
    <w:p w14:paraId="36F1813B" w14:textId="77777777" w:rsidR="009B7B92" w:rsidRDefault="009B7B92" w:rsidP="00C40A65">
      <w:pPr>
        <w:pStyle w:val="BodyText"/>
        <w:ind w:firstLine="720"/>
        <w:jc w:val="both"/>
      </w:pPr>
    </w:p>
    <w:p w14:paraId="06BB8C42" w14:textId="77777777" w:rsidR="00C40A65" w:rsidRPr="00F50D24" w:rsidRDefault="00C40A65" w:rsidP="00D906B6">
      <w:pPr>
        <w:pStyle w:val="Heading1"/>
        <w:ind w:left="0" w:right="853"/>
        <w:jc w:val="left"/>
        <w:rPr>
          <w:b w:val="0"/>
        </w:rPr>
      </w:pPr>
      <w:proofErr w:type="spellStart"/>
      <w:r w:rsidRPr="00F50D24">
        <w:t>Discussion</w:t>
      </w:r>
      <w:proofErr w:type="spellEnd"/>
      <w:r w:rsidRPr="00F50D24">
        <w:t xml:space="preserve"> </w:t>
      </w:r>
      <w:proofErr w:type="spellStart"/>
      <w:r w:rsidRPr="00F50D24">
        <w:t>of</w:t>
      </w:r>
      <w:proofErr w:type="spellEnd"/>
      <w:r w:rsidRPr="00F50D24">
        <w:t xml:space="preserve"> </w:t>
      </w:r>
      <w:proofErr w:type="spellStart"/>
      <w:r w:rsidRPr="00F50D24">
        <w:t>Results</w:t>
      </w:r>
      <w:proofErr w:type="spellEnd"/>
    </w:p>
    <w:p w14:paraId="06A8E1FF" w14:textId="77777777" w:rsidR="00B80594" w:rsidRPr="00B80594" w:rsidRDefault="00B80594" w:rsidP="00B80594">
      <w:pPr>
        <w:pStyle w:val="BodyText"/>
        <w:ind w:firstLine="720"/>
        <w:jc w:val="both"/>
        <w:rPr>
          <w:color w:val="202124"/>
          <w:lang w:val="en" w:eastAsia="id-ID"/>
        </w:rPr>
      </w:pPr>
      <w:r w:rsidRPr="00B80594">
        <w:rPr>
          <w:color w:val="202124"/>
          <w:lang w:val="en" w:eastAsia="id-ID"/>
        </w:rPr>
        <w:t>This study aims to determine the effect of liquidity, profitability and solvency variables on going concern audit opinions either partially or simultaneously. Based on the secondary data that has been collected, a logistic regression test is carried out and in the previous discussion, the following conclusions can be drawn:</w:t>
      </w:r>
    </w:p>
    <w:p w14:paraId="17F2A5D7" w14:textId="4B0AC5E2" w:rsidR="00B80594" w:rsidRPr="00D906B6" w:rsidRDefault="00B80594" w:rsidP="00D906B6">
      <w:pPr>
        <w:pStyle w:val="ListParagraph"/>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202124"/>
          <w:sz w:val="24"/>
          <w:szCs w:val="24"/>
          <w:lang w:val="en" w:eastAsia="id-ID"/>
        </w:rPr>
      </w:pPr>
      <w:r w:rsidRPr="00D906B6">
        <w:rPr>
          <w:rFonts w:ascii="Times New Roman" w:hAnsi="Times New Roman" w:cs="Times New Roman"/>
          <w:color w:val="202124"/>
          <w:sz w:val="24"/>
          <w:szCs w:val="24"/>
          <w:lang w:val="en" w:eastAsia="id-ID"/>
        </w:rPr>
        <w:t>Liquidity has no effect on going concern audit opinions on retail trade sub-sector companies listed on the Indonesia Stock Exchange in 2015 - 2018. This shows that the company's performance to maintain the company's viability is not only seen from liquidity but also from the supply of capital. new or have the ability to generate good profits in the following year. Based on the results of the logistic regression test, it shows that the Liquidity variable (X1) obtained a coefficient of 0.336 with a significance level of 0.212. The significance value is greater than 0.05 (0.212 &lt; 0.05).</w:t>
      </w:r>
    </w:p>
    <w:p w14:paraId="52D0F768" w14:textId="2DAEEB23" w:rsidR="00B80594" w:rsidRPr="00B80594" w:rsidRDefault="00B80594" w:rsidP="00D906B6">
      <w:pPr>
        <w:pStyle w:val="ListParagraph"/>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202124"/>
          <w:sz w:val="24"/>
          <w:szCs w:val="24"/>
          <w:lang w:eastAsia="id-ID"/>
        </w:rPr>
      </w:pPr>
      <w:r w:rsidRPr="00B80594">
        <w:rPr>
          <w:rFonts w:ascii="Times New Roman" w:hAnsi="Times New Roman" w:cs="Times New Roman"/>
          <w:color w:val="202124"/>
          <w:sz w:val="24"/>
          <w:szCs w:val="24"/>
          <w:lang w:val="en" w:eastAsia="id-ID"/>
        </w:rPr>
        <w:t>Profitability has no effect on going concern audit opinions on retail trade sub-sector companies listed on the Indonesia Stock Exchange in 2015 - 2018. This shows that the auditors do not only consider profitability ratios but also look at other factors such as the potential for bankruptcy. and high profitability does not always reflect the good performance of the company. Based on the results of the logistic regression test showed that the profitability variable (X2) obtained a coefficient of -9.800 with a significance level of 0.466. The significance value is greater than 0.05 (0.466 &lt; 0.05).</w:t>
      </w:r>
    </w:p>
    <w:p w14:paraId="7EC03923" w14:textId="1741F2CA" w:rsidR="00D906B6" w:rsidRPr="00D906B6" w:rsidRDefault="00D906B6" w:rsidP="00D906B6">
      <w:pPr>
        <w:pStyle w:val="ListParagraph"/>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202124"/>
          <w:sz w:val="24"/>
          <w:szCs w:val="24"/>
          <w:lang w:val="en" w:eastAsia="id-ID"/>
        </w:rPr>
      </w:pPr>
      <w:r w:rsidRPr="00D906B6">
        <w:rPr>
          <w:rFonts w:ascii="Times New Roman" w:hAnsi="Times New Roman" w:cs="Times New Roman"/>
          <w:color w:val="202124"/>
          <w:sz w:val="24"/>
          <w:szCs w:val="24"/>
          <w:lang w:val="en" w:eastAsia="id-ID"/>
        </w:rPr>
        <w:lastRenderedPageBreak/>
        <w:t>Solvency has no effect on going concern audit opinions on retail trade sub-sector companies listed on the Indonesia Stock Exchange in 2015 – 2018. This shows that even though the company's debt condition is high, the company has always good performance and increases profits every year. the auditor will consider the impact of the company's performance so that the high debt condition of the company is not the basis for the auditor to give a going concern audit opinion. Based on the results of the logistic regression test showed that the solvency variable (X3) obtained a coefficient of 0.693 with a significance level of 0.410. The significance value is greater than 0.05 (0.410 &lt; 0.05).</w:t>
      </w:r>
    </w:p>
    <w:p w14:paraId="2F5CF5DE" w14:textId="3B6FC6CE" w:rsidR="00D906B6" w:rsidRPr="00D906B6" w:rsidRDefault="00D906B6" w:rsidP="00D906B6">
      <w:pPr>
        <w:pStyle w:val="ListParagraph"/>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hAnsi="Times New Roman" w:cs="Times New Roman"/>
          <w:color w:val="202124"/>
          <w:sz w:val="24"/>
          <w:szCs w:val="24"/>
          <w:lang w:eastAsia="id-ID"/>
        </w:rPr>
      </w:pPr>
      <w:r w:rsidRPr="00D906B6">
        <w:rPr>
          <w:rFonts w:ascii="Times New Roman" w:hAnsi="Times New Roman" w:cs="Times New Roman"/>
          <w:color w:val="202124"/>
          <w:sz w:val="24"/>
          <w:szCs w:val="24"/>
          <w:lang w:val="en" w:eastAsia="id-ID"/>
        </w:rPr>
        <w:t>Liquidity, profitability and solvency statistically significantly influence going concern audit opinions on retail trade sub-sector companies listed on the Indonesia Stock Exchange for the 2015-2018 period. This shows that the variables of liquidity, profitability and solvency can simultaneously influence the auditor in providing a going concern audit opinion. Because financial performance is interrelated with each other so that it strengthens an auditor to provide a going concern audit opinion. Based on the results of the logistic regression test showed that the variables of liquidity, profitability and solvency obtained a significance value less than 0.05 (0.000 &lt;0.05).</w:t>
      </w:r>
    </w:p>
    <w:p w14:paraId="309C5E06" w14:textId="77777777" w:rsidR="00C40A65" w:rsidRDefault="00C40A65" w:rsidP="00C40A65">
      <w:pPr>
        <w:pStyle w:val="BodyText"/>
        <w:ind w:firstLine="720"/>
        <w:jc w:val="both"/>
        <w:rPr>
          <w:lang w:val="en-US"/>
        </w:rPr>
      </w:pPr>
    </w:p>
    <w:p w14:paraId="79CFE890" w14:textId="77777777" w:rsidR="00C40A65" w:rsidRDefault="00C40A65" w:rsidP="00C40A65">
      <w:pPr>
        <w:tabs>
          <w:tab w:val="left" w:pos="1236"/>
        </w:tabs>
        <w:rPr>
          <w:b/>
          <w:sz w:val="24"/>
          <w:lang w:val="en-US"/>
        </w:rPr>
      </w:pPr>
    </w:p>
    <w:p w14:paraId="3819DB18" w14:textId="77777777" w:rsidR="009B7B92" w:rsidRPr="00E45AAD" w:rsidRDefault="00E45AAD" w:rsidP="00D906B6">
      <w:pPr>
        <w:pStyle w:val="Heading1"/>
        <w:ind w:left="0" w:right="853"/>
        <w:jc w:val="left"/>
        <w:rPr>
          <w:b w:val="0"/>
        </w:rPr>
      </w:pPr>
      <w:r w:rsidRPr="00E45AAD">
        <w:t>CONCLUSION</w:t>
      </w:r>
    </w:p>
    <w:p w14:paraId="21F6BC9F" w14:textId="77777777" w:rsidR="00D906B6" w:rsidRPr="00D906B6" w:rsidRDefault="00D906B6" w:rsidP="00D906B6">
      <w:pPr>
        <w:pStyle w:val="BodyText"/>
        <w:ind w:firstLine="720"/>
        <w:jc w:val="both"/>
        <w:rPr>
          <w:color w:val="202124"/>
          <w:lang w:val="en" w:eastAsia="id-ID"/>
        </w:rPr>
      </w:pPr>
      <w:r w:rsidRPr="00D906B6">
        <w:rPr>
          <w:color w:val="202124"/>
          <w:lang w:val="en" w:eastAsia="id-ID"/>
        </w:rPr>
        <w:t>Based on the conclusions and results of the research, suggestions can be given which are expected to be useful for:</w:t>
      </w:r>
    </w:p>
    <w:p w14:paraId="11AED8EF" w14:textId="77777777" w:rsidR="00D906B6" w:rsidRPr="00D906B6" w:rsidRDefault="00D906B6" w:rsidP="00D906B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color w:val="202124"/>
          <w:sz w:val="24"/>
          <w:szCs w:val="24"/>
          <w:lang w:val="en" w:eastAsia="id-ID"/>
        </w:rPr>
      </w:pPr>
      <w:r w:rsidRPr="00D906B6">
        <w:rPr>
          <w:color w:val="202124"/>
          <w:sz w:val="24"/>
          <w:szCs w:val="24"/>
          <w:lang w:val="en" w:eastAsia="id-ID"/>
        </w:rPr>
        <w:t>1. Research Object</w:t>
      </w:r>
    </w:p>
    <w:p w14:paraId="7BC51300" w14:textId="77777777" w:rsidR="00D906B6" w:rsidRPr="00D906B6" w:rsidRDefault="00D906B6" w:rsidP="00D906B6">
      <w:pPr>
        <w:pStyle w:val="BodyText"/>
        <w:ind w:firstLine="720"/>
        <w:jc w:val="both"/>
        <w:rPr>
          <w:color w:val="202124"/>
          <w:lang w:val="en" w:eastAsia="id-ID"/>
        </w:rPr>
      </w:pPr>
      <w:r w:rsidRPr="00D906B6">
        <w:rPr>
          <w:color w:val="202124"/>
          <w:lang w:val="en" w:eastAsia="id-ID"/>
        </w:rPr>
        <w:t>The management of the retail trade sub-sector company must strive to continue to increase profits every year and be balanced with a decrease in the company's liabilities. And improve good performance by increasing the effectiveness of management in managing its resources. This is because financial performance is interrelated with each other so that it strengthens an auditor to provide a going concern audit opinion.</w:t>
      </w:r>
    </w:p>
    <w:p w14:paraId="5276E075" w14:textId="77777777" w:rsidR="00D906B6" w:rsidRPr="00D906B6" w:rsidRDefault="00D906B6" w:rsidP="00D906B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color w:val="202124"/>
          <w:sz w:val="24"/>
          <w:szCs w:val="24"/>
          <w:lang w:val="en" w:eastAsia="id-ID"/>
        </w:rPr>
      </w:pPr>
      <w:r w:rsidRPr="00D906B6">
        <w:rPr>
          <w:color w:val="202124"/>
          <w:sz w:val="24"/>
          <w:szCs w:val="24"/>
          <w:lang w:val="en" w:eastAsia="id-ID"/>
        </w:rPr>
        <w:t>2. For Further Researchers</w:t>
      </w:r>
    </w:p>
    <w:p w14:paraId="358DD347" w14:textId="77777777" w:rsidR="00D906B6" w:rsidRPr="00D906B6" w:rsidRDefault="00D906B6" w:rsidP="00D906B6">
      <w:pPr>
        <w:pStyle w:val="BodyText"/>
        <w:ind w:firstLine="720"/>
        <w:jc w:val="both"/>
        <w:rPr>
          <w:color w:val="202124"/>
          <w:lang w:eastAsia="id-ID"/>
        </w:rPr>
      </w:pPr>
      <w:r w:rsidRPr="00D906B6">
        <w:rPr>
          <w:color w:val="202124"/>
          <w:lang w:val="en" w:eastAsia="id-ID"/>
        </w:rPr>
        <w:t>Future researchers are expected to be able to examine more deeply about the company's going concern problems by using other research populations listed on the Indonesia Stock Exchange (IDX), increasing the research period and it is also recommended to add variables that have a relationship with going concern audit opinions.</w:t>
      </w:r>
    </w:p>
    <w:p w14:paraId="2260954A" w14:textId="77777777" w:rsidR="00D906B6" w:rsidRDefault="00D906B6" w:rsidP="00C40A65">
      <w:pPr>
        <w:pStyle w:val="BodyText"/>
        <w:ind w:firstLine="720"/>
        <w:jc w:val="both"/>
        <w:rPr>
          <w:szCs w:val="22"/>
        </w:rPr>
      </w:pPr>
    </w:p>
    <w:p w14:paraId="5F5CC548" w14:textId="77777777" w:rsidR="00C40A65" w:rsidRDefault="00C40A65" w:rsidP="00C40A65">
      <w:pPr>
        <w:pStyle w:val="Heading1"/>
        <w:ind w:left="0"/>
        <w:jc w:val="left"/>
      </w:pPr>
    </w:p>
    <w:p w14:paraId="0509341A" w14:textId="77777777" w:rsidR="00F73859" w:rsidRDefault="00F73859" w:rsidP="00C40A65">
      <w:pPr>
        <w:pStyle w:val="Heading1"/>
        <w:ind w:left="0"/>
        <w:jc w:val="left"/>
      </w:pPr>
    </w:p>
    <w:p w14:paraId="4D206DDC" w14:textId="77777777" w:rsidR="00C40A65" w:rsidRPr="00FD2A17" w:rsidRDefault="00C40A65" w:rsidP="00C40A65">
      <w:pPr>
        <w:pStyle w:val="Heading1"/>
        <w:ind w:left="0"/>
        <w:contextualSpacing/>
        <w:jc w:val="left"/>
        <w:rPr>
          <w:color w:val="000000" w:themeColor="text1"/>
          <w:lang w:val="en-US"/>
        </w:rPr>
      </w:pPr>
      <w:r w:rsidRPr="00FD2A17">
        <w:rPr>
          <w:color w:val="000000" w:themeColor="text1"/>
          <w:lang w:val="en-US"/>
        </w:rPr>
        <w:t>REFERENCES</w:t>
      </w:r>
    </w:p>
    <w:p w14:paraId="70237566" w14:textId="77777777" w:rsidR="00C40A65" w:rsidRPr="00FD2A17" w:rsidRDefault="00C40A65" w:rsidP="00C40A65">
      <w:pPr>
        <w:pStyle w:val="BodyText"/>
        <w:contextualSpacing/>
        <w:rPr>
          <w:b/>
          <w:color w:val="000000" w:themeColor="text1"/>
        </w:rPr>
      </w:pPr>
    </w:p>
    <w:p w14:paraId="2FBD2B30" w14:textId="77777777" w:rsidR="00B7361A" w:rsidRPr="0059259C" w:rsidRDefault="00B7361A" w:rsidP="00B7361A">
      <w:pPr>
        <w:ind w:left="709" w:hanging="709"/>
        <w:jc w:val="both"/>
        <w:rPr>
          <w:sz w:val="24"/>
          <w:szCs w:val="24"/>
        </w:rPr>
      </w:pPr>
      <w:proofErr w:type="spellStart"/>
      <w:r w:rsidRPr="0059259C">
        <w:rPr>
          <w:sz w:val="24"/>
          <w:szCs w:val="24"/>
        </w:rPr>
        <w:t>Arens</w:t>
      </w:r>
      <w:proofErr w:type="spellEnd"/>
      <w:r w:rsidRPr="0059259C">
        <w:rPr>
          <w:sz w:val="24"/>
          <w:szCs w:val="24"/>
        </w:rPr>
        <w:t xml:space="preserve">, Alvin, dkk. 2014. </w:t>
      </w:r>
      <w:proofErr w:type="spellStart"/>
      <w:r w:rsidRPr="0059259C">
        <w:rPr>
          <w:sz w:val="24"/>
          <w:szCs w:val="24"/>
        </w:rPr>
        <w:t>Auditing</w:t>
      </w:r>
      <w:proofErr w:type="spellEnd"/>
      <w:r w:rsidRPr="0059259C">
        <w:rPr>
          <w:sz w:val="24"/>
          <w:szCs w:val="24"/>
        </w:rPr>
        <w:t xml:space="preserve"> &amp; Jasa Assurance, Edisi Kelima belas. Jakarta: Erlangga. </w:t>
      </w:r>
    </w:p>
    <w:p w14:paraId="22DA27E4" w14:textId="77777777" w:rsidR="00B7361A" w:rsidRPr="0059259C" w:rsidRDefault="00B7361A" w:rsidP="00B7361A">
      <w:pPr>
        <w:tabs>
          <w:tab w:val="left" w:pos="851"/>
        </w:tabs>
        <w:ind w:left="851" w:hanging="851"/>
        <w:jc w:val="both"/>
        <w:rPr>
          <w:sz w:val="24"/>
          <w:szCs w:val="24"/>
        </w:rPr>
      </w:pPr>
      <w:r w:rsidRPr="0059259C">
        <w:rPr>
          <w:sz w:val="24"/>
          <w:szCs w:val="24"/>
        </w:rPr>
        <w:t xml:space="preserve">Agoes, </w:t>
      </w:r>
      <w:proofErr w:type="spellStart"/>
      <w:r w:rsidRPr="0059259C">
        <w:rPr>
          <w:sz w:val="24"/>
          <w:szCs w:val="24"/>
        </w:rPr>
        <w:t>Sukrisno</w:t>
      </w:r>
      <w:proofErr w:type="spellEnd"/>
      <w:r w:rsidRPr="0059259C">
        <w:rPr>
          <w:sz w:val="24"/>
          <w:szCs w:val="24"/>
        </w:rPr>
        <w:t xml:space="preserve">. 2017. </w:t>
      </w:r>
      <w:proofErr w:type="spellStart"/>
      <w:r w:rsidRPr="0059259C">
        <w:rPr>
          <w:sz w:val="24"/>
          <w:szCs w:val="24"/>
        </w:rPr>
        <w:t>Auditing</w:t>
      </w:r>
      <w:proofErr w:type="spellEnd"/>
      <w:r w:rsidRPr="0059259C">
        <w:rPr>
          <w:sz w:val="24"/>
          <w:szCs w:val="24"/>
        </w:rPr>
        <w:t>. Edisi lima. Jakarta Selatan: Salemba empat.</w:t>
      </w:r>
    </w:p>
    <w:p w14:paraId="78C73D3B" w14:textId="77777777" w:rsidR="00B7361A" w:rsidRPr="0059259C" w:rsidRDefault="00B7361A" w:rsidP="00B7361A">
      <w:pPr>
        <w:tabs>
          <w:tab w:val="left" w:pos="851"/>
        </w:tabs>
        <w:ind w:left="851" w:hanging="851"/>
        <w:jc w:val="both"/>
        <w:rPr>
          <w:sz w:val="24"/>
          <w:szCs w:val="24"/>
        </w:rPr>
      </w:pPr>
      <w:r w:rsidRPr="0059259C">
        <w:rPr>
          <w:sz w:val="24"/>
          <w:szCs w:val="24"/>
        </w:rPr>
        <w:t xml:space="preserve">Ghozali, Imam. 2018. Aplikasi Analisis </w:t>
      </w:r>
      <w:proofErr w:type="spellStart"/>
      <w:r w:rsidRPr="0059259C">
        <w:rPr>
          <w:sz w:val="24"/>
          <w:szCs w:val="24"/>
        </w:rPr>
        <w:t>Multivariate</w:t>
      </w:r>
      <w:proofErr w:type="spellEnd"/>
      <w:r w:rsidRPr="0059259C">
        <w:rPr>
          <w:sz w:val="24"/>
          <w:szCs w:val="24"/>
        </w:rPr>
        <w:t xml:space="preserve"> dengan Program SPSS. Edisi lima. Semarang: Penerbit Universitas Diponegoro.</w:t>
      </w:r>
    </w:p>
    <w:p w14:paraId="21228B9F" w14:textId="77777777" w:rsidR="00B7361A" w:rsidRPr="0059259C" w:rsidRDefault="00B7361A" w:rsidP="00B7361A">
      <w:pPr>
        <w:tabs>
          <w:tab w:val="left" w:pos="0"/>
          <w:tab w:val="left" w:pos="993"/>
        </w:tabs>
        <w:ind w:left="992" w:hanging="992"/>
        <w:jc w:val="both"/>
        <w:rPr>
          <w:sz w:val="24"/>
          <w:szCs w:val="24"/>
        </w:rPr>
      </w:pPr>
      <w:r w:rsidRPr="0059259C">
        <w:rPr>
          <w:sz w:val="24"/>
          <w:szCs w:val="24"/>
        </w:rPr>
        <w:t xml:space="preserve">Kasmir. 2016. Analisis Laporan Keuangan. Edisi satu. Jakarta: Rajawali   Pers. </w:t>
      </w:r>
    </w:p>
    <w:p w14:paraId="1D094500" w14:textId="1527ED1F" w:rsidR="00B7361A" w:rsidRPr="0059259C" w:rsidRDefault="00B7361A" w:rsidP="00B7361A">
      <w:pPr>
        <w:tabs>
          <w:tab w:val="left" w:pos="0"/>
          <w:tab w:val="left" w:pos="993"/>
        </w:tabs>
        <w:ind w:left="992" w:hanging="992"/>
        <w:jc w:val="both"/>
        <w:rPr>
          <w:sz w:val="24"/>
          <w:szCs w:val="24"/>
        </w:rPr>
      </w:pPr>
      <w:r w:rsidRPr="0059259C">
        <w:rPr>
          <w:sz w:val="24"/>
          <w:szCs w:val="24"/>
        </w:rPr>
        <w:t xml:space="preserve">Masruri FA. 2019. </w:t>
      </w:r>
      <w:r w:rsidRPr="0059259C">
        <w:rPr>
          <w:i/>
          <w:iCs/>
          <w:sz w:val="24"/>
          <w:szCs w:val="24"/>
        </w:rPr>
        <w:t xml:space="preserve">Analisis Rasio </w:t>
      </w:r>
      <w:proofErr w:type="spellStart"/>
      <w:r w:rsidRPr="0059259C">
        <w:rPr>
          <w:i/>
          <w:iCs/>
          <w:sz w:val="24"/>
          <w:szCs w:val="24"/>
        </w:rPr>
        <w:t>Profitabiltas</w:t>
      </w:r>
      <w:proofErr w:type="spellEnd"/>
      <w:r w:rsidRPr="0059259C">
        <w:rPr>
          <w:i/>
          <w:iCs/>
          <w:sz w:val="24"/>
          <w:szCs w:val="24"/>
        </w:rPr>
        <w:t xml:space="preserve"> dan Likuiditas Dalam Memprediksi Finansial </w:t>
      </w:r>
      <w:proofErr w:type="spellStart"/>
      <w:r w:rsidRPr="0059259C">
        <w:rPr>
          <w:i/>
          <w:iCs/>
          <w:sz w:val="24"/>
          <w:szCs w:val="24"/>
        </w:rPr>
        <w:t>Distress</w:t>
      </w:r>
      <w:proofErr w:type="spellEnd"/>
      <w:r w:rsidRPr="0059259C">
        <w:rPr>
          <w:i/>
          <w:iCs/>
          <w:sz w:val="24"/>
          <w:szCs w:val="24"/>
        </w:rPr>
        <w:t xml:space="preserve"> Pada Perusahaan Sektor Industri Konsumsi yang terdaftar di BEI</w:t>
      </w:r>
      <w:r w:rsidRPr="0059259C">
        <w:rPr>
          <w:sz w:val="24"/>
          <w:szCs w:val="24"/>
        </w:rPr>
        <w:t>. SINTESA STIE Sebelas April Sumedang.</w:t>
      </w:r>
    </w:p>
    <w:p w14:paraId="704430F7" w14:textId="77777777" w:rsidR="00B7361A" w:rsidRPr="0059259C" w:rsidRDefault="00B7361A" w:rsidP="00B7361A">
      <w:pPr>
        <w:tabs>
          <w:tab w:val="left" w:pos="0"/>
          <w:tab w:val="left" w:pos="993"/>
        </w:tabs>
        <w:ind w:left="992" w:hanging="992"/>
        <w:jc w:val="both"/>
        <w:rPr>
          <w:sz w:val="24"/>
          <w:szCs w:val="24"/>
        </w:rPr>
      </w:pPr>
      <w:r w:rsidRPr="0059259C">
        <w:rPr>
          <w:sz w:val="24"/>
          <w:szCs w:val="24"/>
        </w:rPr>
        <w:t xml:space="preserve">Purba, Marisi. P. 2016. </w:t>
      </w:r>
      <w:r w:rsidRPr="0059259C">
        <w:rPr>
          <w:i/>
          <w:sz w:val="24"/>
          <w:szCs w:val="24"/>
        </w:rPr>
        <w:t xml:space="preserve">Asumsi </w:t>
      </w:r>
      <w:proofErr w:type="spellStart"/>
      <w:r w:rsidRPr="0059259C">
        <w:rPr>
          <w:i/>
          <w:sz w:val="24"/>
          <w:szCs w:val="24"/>
        </w:rPr>
        <w:t>Going</w:t>
      </w:r>
      <w:proofErr w:type="spellEnd"/>
      <w:r w:rsidRPr="0059259C">
        <w:rPr>
          <w:i/>
          <w:sz w:val="24"/>
          <w:szCs w:val="24"/>
        </w:rPr>
        <w:t xml:space="preserve"> </w:t>
      </w:r>
      <w:proofErr w:type="spellStart"/>
      <w:r w:rsidRPr="0059259C">
        <w:rPr>
          <w:i/>
          <w:sz w:val="24"/>
          <w:szCs w:val="24"/>
        </w:rPr>
        <w:t>Concern</w:t>
      </w:r>
      <w:proofErr w:type="spellEnd"/>
      <w:r w:rsidRPr="0059259C">
        <w:rPr>
          <w:sz w:val="24"/>
          <w:szCs w:val="24"/>
        </w:rPr>
        <w:t xml:space="preserve">. Edisi kedua. Yogyakarta: </w:t>
      </w:r>
      <w:proofErr w:type="spellStart"/>
      <w:r w:rsidRPr="0059259C">
        <w:rPr>
          <w:sz w:val="24"/>
          <w:szCs w:val="24"/>
        </w:rPr>
        <w:t>Ekuilibria</w:t>
      </w:r>
      <w:proofErr w:type="spellEnd"/>
      <w:r w:rsidRPr="0059259C">
        <w:rPr>
          <w:sz w:val="24"/>
          <w:szCs w:val="24"/>
        </w:rPr>
        <w:t>.</w:t>
      </w:r>
    </w:p>
    <w:p w14:paraId="32AB2D78" w14:textId="77777777" w:rsidR="00B7361A" w:rsidRPr="0059259C" w:rsidRDefault="00B7361A" w:rsidP="00B7361A">
      <w:pPr>
        <w:tabs>
          <w:tab w:val="left" w:pos="0"/>
        </w:tabs>
        <w:ind w:left="992" w:hanging="992"/>
        <w:jc w:val="both"/>
        <w:rPr>
          <w:sz w:val="24"/>
          <w:szCs w:val="24"/>
        </w:rPr>
      </w:pPr>
      <w:proofErr w:type="spellStart"/>
      <w:r w:rsidRPr="0059259C">
        <w:rPr>
          <w:sz w:val="24"/>
          <w:szCs w:val="24"/>
        </w:rPr>
        <w:t>Subramanyam</w:t>
      </w:r>
      <w:proofErr w:type="spellEnd"/>
      <w:r w:rsidRPr="0059259C">
        <w:rPr>
          <w:sz w:val="24"/>
          <w:szCs w:val="24"/>
        </w:rPr>
        <w:t xml:space="preserve">, K.R, dan John J. </w:t>
      </w:r>
      <w:proofErr w:type="spellStart"/>
      <w:r w:rsidRPr="0059259C">
        <w:rPr>
          <w:sz w:val="24"/>
          <w:szCs w:val="24"/>
        </w:rPr>
        <w:t>Wild</w:t>
      </w:r>
      <w:proofErr w:type="spellEnd"/>
      <w:r w:rsidRPr="0059259C">
        <w:rPr>
          <w:sz w:val="24"/>
          <w:szCs w:val="24"/>
        </w:rPr>
        <w:t>. 2014. Analisis Laporan Keuangan.    Edisi sepuluh. Jakarta Selatan: Salemba empat.</w:t>
      </w:r>
    </w:p>
    <w:p w14:paraId="452C59E3" w14:textId="77777777" w:rsidR="00B7361A" w:rsidRPr="0059259C" w:rsidRDefault="00B7361A" w:rsidP="00B7361A">
      <w:pPr>
        <w:tabs>
          <w:tab w:val="left" w:pos="0"/>
        </w:tabs>
        <w:ind w:left="992" w:hanging="992"/>
        <w:jc w:val="both"/>
        <w:rPr>
          <w:sz w:val="24"/>
          <w:szCs w:val="24"/>
        </w:rPr>
      </w:pPr>
      <w:r w:rsidRPr="0059259C">
        <w:rPr>
          <w:sz w:val="24"/>
          <w:szCs w:val="24"/>
        </w:rPr>
        <w:lastRenderedPageBreak/>
        <w:t xml:space="preserve">Sugiyono. 2018. Metode </w:t>
      </w:r>
      <w:proofErr w:type="spellStart"/>
      <w:r w:rsidRPr="0059259C">
        <w:rPr>
          <w:sz w:val="24"/>
          <w:szCs w:val="24"/>
        </w:rPr>
        <w:t>Peneltian</w:t>
      </w:r>
      <w:proofErr w:type="spellEnd"/>
      <w:r w:rsidRPr="0059259C">
        <w:rPr>
          <w:sz w:val="24"/>
          <w:szCs w:val="24"/>
        </w:rPr>
        <w:t xml:space="preserve"> Kuantitatif, Kualitatif, dan R&amp;D. Bandung: </w:t>
      </w:r>
      <w:proofErr w:type="spellStart"/>
      <w:r w:rsidRPr="0059259C">
        <w:rPr>
          <w:sz w:val="24"/>
          <w:szCs w:val="24"/>
        </w:rPr>
        <w:t>Alfabeta</w:t>
      </w:r>
      <w:proofErr w:type="spellEnd"/>
      <w:r w:rsidRPr="0059259C">
        <w:rPr>
          <w:sz w:val="24"/>
          <w:szCs w:val="24"/>
        </w:rPr>
        <w:t>.</w:t>
      </w:r>
    </w:p>
    <w:p w14:paraId="51812D4F" w14:textId="77777777" w:rsidR="00B7361A" w:rsidRPr="0059259C" w:rsidRDefault="00B7361A" w:rsidP="00B7361A">
      <w:pPr>
        <w:tabs>
          <w:tab w:val="left" w:pos="0"/>
        </w:tabs>
        <w:ind w:left="992" w:hanging="992"/>
        <w:jc w:val="both"/>
        <w:rPr>
          <w:sz w:val="24"/>
          <w:szCs w:val="24"/>
        </w:rPr>
      </w:pPr>
    </w:p>
    <w:p w14:paraId="63B4135A" w14:textId="77777777" w:rsidR="00B7361A" w:rsidRPr="0059259C" w:rsidRDefault="00B7361A" w:rsidP="00B7361A">
      <w:pPr>
        <w:tabs>
          <w:tab w:val="left" w:pos="0"/>
        </w:tabs>
        <w:ind w:left="992" w:hanging="992"/>
        <w:jc w:val="both"/>
        <w:rPr>
          <w:sz w:val="24"/>
          <w:szCs w:val="24"/>
        </w:rPr>
      </w:pPr>
      <w:r w:rsidRPr="0059259C">
        <w:rPr>
          <w:sz w:val="24"/>
          <w:szCs w:val="24"/>
        </w:rPr>
        <w:t xml:space="preserve">Sutrisno. 2017. Manajemen Keuangan. Edisi Kedua. Yogyakarta: </w:t>
      </w:r>
      <w:proofErr w:type="spellStart"/>
      <w:r w:rsidRPr="0059259C">
        <w:rPr>
          <w:sz w:val="24"/>
          <w:szCs w:val="24"/>
        </w:rPr>
        <w:t>Ekonisia</w:t>
      </w:r>
      <w:proofErr w:type="spellEnd"/>
      <w:r w:rsidRPr="0059259C">
        <w:rPr>
          <w:sz w:val="24"/>
          <w:szCs w:val="24"/>
        </w:rPr>
        <w:t>.</w:t>
      </w:r>
    </w:p>
    <w:p w14:paraId="47391BE7" w14:textId="77777777" w:rsidR="00B7361A" w:rsidRPr="0059259C" w:rsidRDefault="00B7361A" w:rsidP="00B7361A">
      <w:pPr>
        <w:tabs>
          <w:tab w:val="left" w:pos="0"/>
        </w:tabs>
        <w:ind w:left="992" w:hanging="992"/>
        <w:jc w:val="both"/>
        <w:rPr>
          <w:sz w:val="24"/>
          <w:szCs w:val="24"/>
        </w:rPr>
      </w:pPr>
      <w:proofErr w:type="spellStart"/>
      <w:r w:rsidRPr="0059259C">
        <w:rPr>
          <w:sz w:val="24"/>
          <w:szCs w:val="24"/>
        </w:rPr>
        <w:t>Sukaran</w:t>
      </w:r>
      <w:proofErr w:type="spellEnd"/>
      <w:r w:rsidRPr="0059259C">
        <w:rPr>
          <w:sz w:val="24"/>
          <w:szCs w:val="24"/>
        </w:rPr>
        <w:t>, umi.2017. Metode penelitian untuk bisnis. Edisi enam. Jakarta selatan: Salemba empat.</w:t>
      </w:r>
    </w:p>
    <w:p w14:paraId="40B4D3B3" w14:textId="77777777" w:rsidR="00B7361A" w:rsidRPr="0059259C" w:rsidRDefault="00B7361A" w:rsidP="00B7361A">
      <w:pPr>
        <w:ind w:left="709" w:hanging="709"/>
        <w:jc w:val="both"/>
        <w:rPr>
          <w:sz w:val="24"/>
          <w:szCs w:val="24"/>
        </w:rPr>
      </w:pPr>
      <w:r w:rsidRPr="0059259C">
        <w:rPr>
          <w:sz w:val="24"/>
          <w:szCs w:val="24"/>
        </w:rPr>
        <w:t>Sasongko, Catur, dkk. 2018. Suatu Pengantar Akuntansi I. Edisi kedua. Jakarta: Salemba empat.</w:t>
      </w:r>
    </w:p>
    <w:p w14:paraId="187E2AB3" w14:textId="77777777" w:rsidR="00B7361A" w:rsidRPr="0059259C" w:rsidRDefault="00B7361A" w:rsidP="00B7361A">
      <w:pPr>
        <w:ind w:left="851" w:hanging="851"/>
        <w:jc w:val="both"/>
        <w:rPr>
          <w:sz w:val="24"/>
          <w:szCs w:val="24"/>
        </w:rPr>
      </w:pPr>
      <w:r w:rsidRPr="0059259C">
        <w:rPr>
          <w:sz w:val="24"/>
          <w:szCs w:val="24"/>
        </w:rPr>
        <w:t xml:space="preserve">Ariani, Yovita. 2019. Pengaruh Profitabilitas, Likuiditas, dan Solvabilitas terhadap Pemberian Opini Audit </w:t>
      </w:r>
      <w:proofErr w:type="spellStart"/>
      <w:r w:rsidRPr="0059259C">
        <w:rPr>
          <w:i/>
          <w:sz w:val="24"/>
          <w:szCs w:val="24"/>
        </w:rPr>
        <w:t>Going</w:t>
      </w:r>
      <w:proofErr w:type="spellEnd"/>
      <w:r w:rsidRPr="0059259C">
        <w:rPr>
          <w:i/>
          <w:sz w:val="24"/>
          <w:szCs w:val="24"/>
        </w:rPr>
        <w:t xml:space="preserve"> </w:t>
      </w:r>
      <w:proofErr w:type="spellStart"/>
      <w:r w:rsidRPr="0059259C">
        <w:rPr>
          <w:i/>
          <w:sz w:val="24"/>
          <w:szCs w:val="24"/>
        </w:rPr>
        <w:t>Concern</w:t>
      </w:r>
      <w:proofErr w:type="spellEnd"/>
      <w:r w:rsidRPr="0059259C">
        <w:rPr>
          <w:sz w:val="24"/>
          <w:szCs w:val="24"/>
        </w:rPr>
        <w:t>. Vol. 12 (No.2), hal 107-121. Universitas Bunda Mulia.</w:t>
      </w:r>
    </w:p>
    <w:p w14:paraId="0F732BE1" w14:textId="77777777" w:rsidR="00B7361A" w:rsidRPr="0059259C" w:rsidRDefault="00B7361A" w:rsidP="00B7361A">
      <w:pPr>
        <w:ind w:left="851" w:hanging="851"/>
        <w:jc w:val="both"/>
        <w:rPr>
          <w:sz w:val="24"/>
          <w:szCs w:val="24"/>
        </w:rPr>
      </w:pPr>
      <w:r w:rsidRPr="0059259C">
        <w:rPr>
          <w:sz w:val="24"/>
          <w:szCs w:val="24"/>
        </w:rPr>
        <w:t xml:space="preserve">Haryani, Arisa Widya. 2016. Pengaruh Profitabilitas, Likuiditas, dan Solvabilitas terhadap Pemberian Opini Audit </w:t>
      </w:r>
      <w:proofErr w:type="spellStart"/>
      <w:r w:rsidRPr="0059259C">
        <w:rPr>
          <w:i/>
          <w:sz w:val="24"/>
          <w:szCs w:val="24"/>
        </w:rPr>
        <w:t>Going</w:t>
      </w:r>
      <w:proofErr w:type="spellEnd"/>
      <w:r w:rsidRPr="0059259C">
        <w:rPr>
          <w:i/>
          <w:sz w:val="24"/>
          <w:szCs w:val="24"/>
        </w:rPr>
        <w:t xml:space="preserve"> </w:t>
      </w:r>
      <w:proofErr w:type="spellStart"/>
      <w:r w:rsidRPr="0059259C">
        <w:rPr>
          <w:i/>
          <w:sz w:val="24"/>
          <w:szCs w:val="24"/>
        </w:rPr>
        <w:t>Concern</w:t>
      </w:r>
      <w:proofErr w:type="spellEnd"/>
      <w:r w:rsidRPr="0059259C">
        <w:rPr>
          <w:sz w:val="24"/>
          <w:szCs w:val="24"/>
        </w:rPr>
        <w:t xml:space="preserve">. </w:t>
      </w:r>
      <w:proofErr w:type="spellStart"/>
      <w:r w:rsidRPr="0059259C">
        <w:rPr>
          <w:sz w:val="24"/>
          <w:szCs w:val="24"/>
        </w:rPr>
        <w:t>Universita</w:t>
      </w:r>
      <w:proofErr w:type="spellEnd"/>
      <w:r w:rsidRPr="0059259C">
        <w:rPr>
          <w:sz w:val="24"/>
          <w:szCs w:val="24"/>
        </w:rPr>
        <w:t xml:space="preserve"> Islam </w:t>
      </w:r>
      <w:proofErr w:type="spellStart"/>
      <w:r w:rsidRPr="0059259C">
        <w:rPr>
          <w:sz w:val="24"/>
          <w:szCs w:val="24"/>
        </w:rPr>
        <w:t>Majapahit</w:t>
      </w:r>
      <w:proofErr w:type="spellEnd"/>
      <w:r w:rsidRPr="0059259C">
        <w:rPr>
          <w:sz w:val="24"/>
          <w:szCs w:val="24"/>
        </w:rPr>
        <w:t>.</w:t>
      </w:r>
    </w:p>
    <w:p w14:paraId="1D24E477" w14:textId="77777777" w:rsidR="00B7361A" w:rsidRPr="0059259C" w:rsidRDefault="00B7361A" w:rsidP="00B7361A">
      <w:pPr>
        <w:ind w:left="851" w:hanging="851"/>
        <w:jc w:val="both"/>
        <w:rPr>
          <w:sz w:val="24"/>
          <w:szCs w:val="24"/>
        </w:rPr>
      </w:pPr>
      <w:r w:rsidRPr="0059259C">
        <w:rPr>
          <w:sz w:val="24"/>
          <w:szCs w:val="24"/>
        </w:rPr>
        <w:t xml:space="preserve">Kurniawan, dkk.  2018. Pengaruh Profitabilitas, Likuiditas, Solvabilitas, Ukuran Perusahaan dan Reputasi Auditor terhadap Penerimaan Opini Audit </w:t>
      </w:r>
      <w:proofErr w:type="spellStart"/>
      <w:r w:rsidRPr="0059259C">
        <w:rPr>
          <w:i/>
          <w:sz w:val="24"/>
          <w:szCs w:val="24"/>
        </w:rPr>
        <w:t>Going</w:t>
      </w:r>
      <w:proofErr w:type="spellEnd"/>
      <w:r w:rsidRPr="0059259C">
        <w:rPr>
          <w:i/>
          <w:sz w:val="24"/>
          <w:szCs w:val="24"/>
        </w:rPr>
        <w:t xml:space="preserve"> </w:t>
      </w:r>
      <w:proofErr w:type="spellStart"/>
      <w:r w:rsidRPr="0059259C">
        <w:rPr>
          <w:i/>
          <w:sz w:val="24"/>
          <w:szCs w:val="24"/>
        </w:rPr>
        <w:t>Concern</w:t>
      </w:r>
      <w:proofErr w:type="spellEnd"/>
      <w:r w:rsidRPr="0059259C">
        <w:rPr>
          <w:sz w:val="24"/>
          <w:szCs w:val="24"/>
        </w:rPr>
        <w:t xml:space="preserve"> pada perusahaan Manufaktur yang terdaftar di Bursa Efek Indonesia. Skripsi Akuntansi. Universitas Nusantara PGRI Kediri.</w:t>
      </w:r>
    </w:p>
    <w:p w14:paraId="37E85B5B" w14:textId="77777777" w:rsidR="00B7361A" w:rsidRPr="0059259C" w:rsidRDefault="00B7361A" w:rsidP="00B7361A">
      <w:pPr>
        <w:ind w:left="851" w:hanging="851"/>
        <w:jc w:val="both"/>
        <w:rPr>
          <w:sz w:val="24"/>
          <w:szCs w:val="24"/>
        </w:rPr>
      </w:pPr>
      <w:r w:rsidRPr="0059259C">
        <w:rPr>
          <w:sz w:val="24"/>
          <w:szCs w:val="24"/>
        </w:rPr>
        <w:t xml:space="preserve">Pasaribu, Aria Masdiana. 2015. Pengaruh Kualitas Auditor, Likuiditas, Solvabilitas dan Profitabilitas terhadap Opini  Audit </w:t>
      </w:r>
      <w:proofErr w:type="spellStart"/>
      <w:r w:rsidRPr="0059259C">
        <w:rPr>
          <w:sz w:val="24"/>
          <w:szCs w:val="24"/>
        </w:rPr>
        <w:t>Going</w:t>
      </w:r>
      <w:proofErr w:type="spellEnd"/>
      <w:r w:rsidRPr="0059259C">
        <w:rPr>
          <w:sz w:val="24"/>
          <w:szCs w:val="24"/>
        </w:rPr>
        <w:t xml:space="preserve"> </w:t>
      </w:r>
      <w:proofErr w:type="spellStart"/>
      <w:r w:rsidRPr="0059259C">
        <w:rPr>
          <w:sz w:val="24"/>
          <w:szCs w:val="24"/>
        </w:rPr>
        <w:t>Concern</w:t>
      </w:r>
      <w:proofErr w:type="spellEnd"/>
      <w:r w:rsidRPr="0059259C">
        <w:rPr>
          <w:sz w:val="24"/>
          <w:szCs w:val="24"/>
        </w:rPr>
        <w:t xml:space="preserve"> pada Sub Sektor Makanan dan Minuman yang terdaftar di BEI. Jurnal Akuntansi, Vol.6 No.2 hal 80-92. Universitas Al-azhar Medan.</w:t>
      </w:r>
    </w:p>
    <w:p w14:paraId="39617661" w14:textId="77777777" w:rsidR="00B7361A" w:rsidRPr="0059259C" w:rsidRDefault="00B7361A" w:rsidP="00B7361A">
      <w:pPr>
        <w:ind w:left="851" w:hanging="851"/>
        <w:jc w:val="both"/>
        <w:rPr>
          <w:sz w:val="24"/>
          <w:szCs w:val="24"/>
        </w:rPr>
      </w:pPr>
      <w:r w:rsidRPr="0059259C">
        <w:rPr>
          <w:sz w:val="24"/>
          <w:szCs w:val="24"/>
        </w:rPr>
        <w:t xml:space="preserve">Rahman, dan Ahmad. 2018. Pengaruh Likuiditas, Profitabilitas dan Solvabilitas terhadap Opini Audit </w:t>
      </w:r>
      <w:proofErr w:type="spellStart"/>
      <w:r w:rsidRPr="0059259C">
        <w:rPr>
          <w:i/>
          <w:sz w:val="24"/>
          <w:szCs w:val="24"/>
        </w:rPr>
        <w:t>Going</w:t>
      </w:r>
      <w:proofErr w:type="spellEnd"/>
      <w:r w:rsidRPr="0059259C">
        <w:rPr>
          <w:i/>
          <w:sz w:val="24"/>
          <w:szCs w:val="24"/>
        </w:rPr>
        <w:t xml:space="preserve"> </w:t>
      </w:r>
      <w:proofErr w:type="spellStart"/>
      <w:r w:rsidRPr="0059259C">
        <w:rPr>
          <w:i/>
          <w:sz w:val="24"/>
          <w:szCs w:val="24"/>
        </w:rPr>
        <w:t>Concern</w:t>
      </w:r>
      <w:proofErr w:type="spellEnd"/>
      <w:r w:rsidRPr="0059259C">
        <w:rPr>
          <w:sz w:val="24"/>
          <w:szCs w:val="24"/>
        </w:rPr>
        <w:t xml:space="preserve">. Vol. 1, hal 45-53. </w:t>
      </w:r>
      <w:proofErr w:type="spellStart"/>
      <w:r w:rsidRPr="0059259C">
        <w:rPr>
          <w:sz w:val="24"/>
          <w:szCs w:val="24"/>
        </w:rPr>
        <w:t>Univeritas</w:t>
      </w:r>
      <w:proofErr w:type="spellEnd"/>
      <w:r w:rsidRPr="0059259C">
        <w:rPr>
          <w:sz w:val="24"/>
          <w:szCs w:val="24"/>
        </w:rPr>
        <w:t xml:space="preserve"> Muslim Indonesia.</w:t>
      </w:r>
    </w:p>
    <w:p w14:paraId="1149E314" w14:textId="77777777" w:rsidR="00B7361A" w:rsidRPr="0059259C" w:rsidRDefault="00B7361A" w:rsidP="00B7361A">
      <w:pPr>
        <w:ind w:left="851" w:hanging="851"/>
        <w:jc w:val="both"/>
        <w:rPr>
          <w:sz w:val="24"/>
          <w:szCs w:val="24"/>
        </w:rPr>
      </w:pPr>
      <w:r w:rsidRPr="0059259C">
        <w:rPr>
          <w:sz w:val="24"/>
          <w:szCs w:val="24"/>
        </w:rPr>
        <w:t xml:space="preserve">Utami, Kartika Tri. 2019. Pengaruh Profitabilitas, Likuiditas, Solvabilitas, Pertumbuhan Perusahaan dan </w:t>
      </w:r>
      <w:proofErr w:type="spellStart"/>
      <w:r w:rsidRPr="0059259C">
        <w:rPr>
          <w:i/>
          <w:sz w:val="24"/>
          <w:szCs w:val="24"/>
        </w:rPr>
        <w:t>Opinion</w:t>
      </w:r>
      <w:proofErr w:type="spellEnd"/>
      <w:r w:rsidRPr="0059259C">
        <w:rPr>
          <w:i/>
          <w:sz w:val="24"/>
          <w:szCs w:val="24"/>
        </w:rPr>
        <w:t xml:space="preserve"> Shopping</w:t>
      </w:r>
      <w:r w:rsidRPr="0059259C">
        <w:rPr>
          <w:sz w:val="24"/>
          <w:szCs w:val="24"/>
        </w:rPr>
        <w:t xml:space="preserve"> terhadap Opini Audit  </w:t>
      </w:r>
      <w:proofErr w:type="spellStart"/>
      <w:r w:rsidRPr="0059259C">
        <w:rPr>
          <w:i/>
          <w:sz w:val="24"/>
          <w:szCs w:val="24"/>
        </w:rPr>
        <w:t>Going</w:t>
      </w:r>
      <w:proofErr w:type="spellEnd"/>
      <w:r w:rsidRPr="0059259C">
        <w:rPr>
          <w:i/>
          <w:sz w:val="24"/>
          <w:szCs w:val="24"/>
        </w:rPr>
        <w:t xml:space="preserve"> </w:t>
      </w:r>
      <w:proofErr w:type="spellStart"/>
      <w:r w:rsidRPr="0059259C">
        <w:rPr>
          <w:i/>
          <w:sz w:val="24"/>
          <w:szCs w:val="24"/>
        </w:rPr>
        <w:t>Concern</w:t>
      </w:r>
      <w:proofErr w:type="spellEnd"/>
      <w:r w:rsidRPr="0059259C">
        <w:rPr>
          <w:i/>
          <w:sz w:val="24"/>
          <w:szCs w:val="24"/>
        </w:rPr>
        <w:t xml:space="preserve"> </w:t>
      </w:r>
      <w:r w:rsidRPr="0059259C">
        <w:rPr>
          <w:sz w:val="24"/>
          <w:szCs w:val="24"/>
        </w:rPr>
        <w:t>(studi empiris pada perusahaan manufaktur yang terdaftar di BEI tahun 2014-2017). Skripsi Akuntansi. Universitas Islam Negeri Syarif Hidayatullah.</w:t>
      </w:r>
    </w:p>
    <w:p w14:paraId="40B531C4" w14:textId="77777777" w:rsidR="00B7361A" w:rsidRPr="0059259C" w:rsidRDefault="00B7361A" w:rsidP="00B7361A">
      <w:pPr>
        <w:ind w:left="851" w:hanging="851"/>
        <w:jc w:val="both"/>
        <w:rPr>
          <w:sz w:val="24"/>
          <w:szCs w:val="24"/>
        </w:rPr>
      </w:pPr>
      <w:r w:rsidRPr="0059259C">
        <w:rPr>
          <w:sz w:val="24"/>
          <w:szCs w:val="24"/>
        </w:rPr>
        <w:t xml:space="preserve">Harahap, Hilda Amelia Br. 2019. Pengaruh Kualitas Audit, Profitabilitas, Solvabilitas, dan Ukuran Perusahaan terhadap Opini Audit </w:t>
      </w:r>
      <w:proofErr w:type="spellStart"/>
      <w:r w:rsidRPr="0059259C">
        <w:rPr>
          <w:i/>
          <w:sz w:val="24"/>
          <w:szCs w:val="24"/>
        </w:rPr>
        <w:t>Going</w:t>
      </w:r>
      <w:proofErr w:type="spellEnd"/>
      <w:r w:rsidRPr="0059259C">
        <w:rPr>
          <w:i/>
          <w:sz w:val="24"/>
          <w:szCs w:val="24"/>
        </w:rPr>
        <w:t xml:space="preserve"> </w:t>
      </w:r>
      <w:proofErr w:type="spellStart"/>
      <w:r w:rsidRPr="0059259C">
        <w:rPr>
          <w:i/>
          <w:sz w:val="24"/>
          <w:szCs w:val="24"/>
        </w:rPr>
        <w:t>Concern</w:t>
      </w:r>
      <w:proofErr w:type="spellEnd"/>
      <w:r w:rsidRPr="0059259C">
        <w:rPr>
          <w:sz w:val="24"/>
          <w:szCs w:val="24"/>
        </w:rPr>
        <w:t xml:space="preserve"> Pada Perusahaan Manufaktur yang terdaftar Di Bursa Efek Indonesia. Universitas Sumatera Utara.</w:t>
      </w:r>
    </w:p>
    <w:p w14:paraId="608EF1A0" w14:textId="77777777" w:rsidR="00B7361A" w:rsidRPr="0059259C" w:rsidRDefault="00B7361A" w:rsidP="00B7361A">
      <w:pPr>
        <w:ind w:left="709" w:hanging="720"/>
        <w:jc w:val="both"/>
        <w:rPr>
          <w:sz w:val="24"/>
          <w:szCs w:val="24"/>
        </w:rPr>
      </w:pPr>
      <w:r w:rsidRPr="0059259C">
        <w:rPr>
          <w:sz w:val="24"/>
          <w:szCs w:val="24"/>
        </w:rPr>
        <w:t>Standar Profesional Akuntan Indonesia. 2004. Standar Akuntansi Keuangan. Ikatan Akuntan Indonesia. 2001.</w:t>
      </w:r>
    </w:p>
    <w:p w14:paraId="175A2667" w14:textId="77777777" w:rsidR="00B7361A" w:rsidRPr="0059259C" w:rsidRDefault="00B7361A" w:rsidP="00B7361A">
      <w:pPr>
        <w:ind w:left="709" w:hanging="720"/>
        <w:jc w:val="both"/>
        <w:rPr>
          <w:sz w:val="24"/>
          <w:szCs w:val="24"/>
        </w:rPr>
      </w:pPr>
      <w:r w:rsidRPr="0059259C">
        <w:rPr>
          <w:sz w:val="24"/>
          <w:szCs w:val="24"/>
        </w:rPr>
        <w:t>Pernyataan Standar Akuntansi Keuangan No. 1 Tahun 2013 Tentang Penyajian Laporan Keuangan.</w:t>
      </w:r>
    </w:p>
    <w:p w14:paraId="25F516EC" w14:textId="7F774248" w:rsidR="00C40A65" w:rsidRPr="0059259C" w:rsidRDefault="00B7361A" w:rsidP="00B7361A">
      <w:pPr>
        <w:pStyle w:val="NormalWeb"/>
        <w:spacing w:before="0" w:beforeAutospacing="0" w:after="0" w:afterAutospacing="0"/>
        <w:ind w:left="567" w:hanging="567"/>
        <w:contextualSpacing/>
        <w:jc w:val="both"/>
        <w:rPr>
          <w:color w:val="000000" w:themeColor="text1"/>
        </w:rPr>
      </w:pPr>
      <w:proofErr w:type="spellStart"/>
      <w:r w:rsidRPr="0059259C">
        <w:t>Laporan</w:t>
      </w:r>
      <w:proofErr w:type="spellEnd"/>
      <w:r w:rsidRPr="0059259C">
        <w:t xml:space="preserve"> </w:t>
      </w:r>
      <w:proofErr w:type="spellStart"/>
      <w:r w:rsidRPr="0059259C">
        <w:t>Keuangan</w:t>
      </w:r>
      <w:proofErr w:type="spellEnd"/>
      <w:r w:rsidRPr="0059259C">
        <w:t xml:space="preserve"> </w:t>
      </w:r>
      <w:proofErr w:type="spellStart"/>
      <w:r w:rsidRPr="0059259C">
        <w:t>Auditan</w:t>
      </w:r>
      <w:proofErr w:type="spellEnd"/>
      <w:r w:rsidRPr="0059259C">
        <w:t xml:space="preserve"> </w:t>
      </w:r>
      <w:proofErr w:type="spellStart"/>
      <w:r w:rsidRPr="0059259C">
        <w:t>beserta</w:t>
      </w:r>
      <w:proofErr w:type="spellEnd"/>
      <w:r w:rsidRPr="0059259C">
        <w:t xml:space="preserve"> </w:t>
      </w:r>
      <w:proofErr w:type="spellStart"/>
      <w:r w:rsidRPr="0059259C">
        <w:t>Laporan</w:t>
      </w:r>
      <w:proofErr w:type="spellEnd"/>
      <w:r w:rsidRPr="0059259C">
        <w:t xml:space="preserve"> </w:t>
      </w:r>
      <w:proofErr w:type="spellStart"/>
      <w:r w:rsidRPr="0059259C">
        <w:t>Independen</w:t>
      </w:r>
      <w:proofErr w:type="spellEnd"/>
      <w:r w:rsidRPr="0059259C">
        <w:t>. www.idx.co.id</w:t>
      </w:r>
    </w:p>
    <w:p w14:paraId="467D161A" w14:textId="77777777" w:rsidR="00C40A65" w:rsidRPr="00DD6BE8" w:rsidRDefault="00C40A65" w:rsidP="00C40A65">
      <w:pPr>
        <w:ind w:left="720" w:hanging="720"/>
        <w:jc w:val="both"/>
        <w:rPr>
          <w:sz w:val="24"/>
          <w:szCs w:val="24"/>
        </w:rPr>
      </w:pPr>
    </w:p>
    <w:p w14:paraId="47C5D064" w14:textId="77777777" w:rsidR="001B5598" w:rsidRDefault="001B5598"/>
    <w:sectPr w:rsidR="001B5598" w:rsidSect="00203314">
      <w:type w:val="continuous"/>
      <w:pgSz w:w="11910" w:h="16840"/>
      <w:pgMar w:top="1440" w:right="1440" w:bottom="1440" w:left="1440" w:header="720" w:footer="720" w:gutter="0"/>
      <w:pgNumType w:start="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0169" w14:textId="77777777" w:rsidR="005C5118" w:rsidRDefault="005C5118" w:rsidP="001B5598">
      <w:r>
        <w:separator/>
      </w:r>
    </w:p>
  </w:endnote>
  <w:endnote w:type="continuationSeparator" w:id="0">
    <w:p w14:paraId="5B2FC278" w14:textId="77777777" w:rsidR="005C5118" w:rsidRDefault="005C5118" w:rsidP="001B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4D"/>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Arno Pro">
    <w:altName w:val="Cambria"/>
    <w:panose1 w:val="020B0604020202020204"/>
    <w:charset w:val="00"/>
    <w:family w:val="roman"/>
    <w:pitch w:val="variable"/>
    <w:sig w:usb0="60000287" w:usb1="00000001"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318866"/>
      <w:docPartObj>
        <w:docPartGallery w:val="Page Numbers (Bottom of Page)"/>
        <w:docPartUnique/>
      </w:docPartObj>
    </w:sdtPr>
    <w:sdtEndPr>
      <w:rPr>
        <w:noProof/>
        <w:sz w:val="24"/>
        <w:szCs w:val="24"/>
      </w:rPr>
    </w:sdtEndPr>
    <w:sdtContent>
      <w:p w14:paraId="5D329A51" w14:textId="77777777" w:rsidR="001B5598" w:rsidRPr="001B5598" w:rsidRDefault="001B5598">
        <w:pPr>
          <w:pStyle w:val="Footer"/>
          <w:jc w:val="center"/>
          <w:rPr>
            <w:sz w:val="24"/>
            <w:szCs w:val="24"/>
          </w:rPr>
        </w:pPr>
        <w:r w:rsidRPr="001B5598">
          <w:rPr>
            <w:sz w:val="24"/>
            <w:szCs w:val="24"/>
          </w:rPr>
          <w:fldChar w:fldCharType="begin"/>
        </w:r>
        <w:r w:rsidRPr="001B5598">
          <w:rPr>
            <w:sz w:val="24"/>
            <w:szCs w:val="24"/>
          </w:rPr>
          <w:instrText xml:space="preserve"> PAGE   \* MERGEFORMAT </w:instrText>
        </w:r>
        <w:r w:rsidRPr="001B5598">
          <w:rPr>
            <w:sz w:val="24"/>
            <w:szCs w:val="24"/>
          </w:rPr>
          <w:fldChar w:fldCharType="separate"/>
        </w:r>
        <w:r w:rsidR="00DA379E">
          <w:rPr>
            <w:noProof/>
            <w:sz w:val="24"/>
            <w:szCs w:val="24"/>
          </w:rPr>
          <w:t>15</w:t>
        </w:r>
        <w:r w:rsidRPr="001B5598">
          <w:rPr>
            <w:noProof/>
            <w:sz w:val="24"/>
            <w:szCs w:val="24"/>
          </w:rPr>
          <w:fldChar w:fldCharType="end"/>
        </w:r>
      </w:p>
    </w:sdtContent>
  </w:sdt>
  <w:p w14:paraId="7956F0E9" w14:textId="77777777" w:rsidR="001B5598" w:rsidRDefault="001B5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9D8E" w14:textId="77777777" w:rsidR="005C5118" w:rsidRDefault="005C5118" w:rsidP="001B5598">
      <w:r>
        <w:separator/>
      </w:r>
    </w:p>
  </w:footnote>
  <w:footnote w:type="continuationSeparator" w:id="0">
    <w:p w14:paraId="154421B7" w14:textId="77777777" w:rsidR="005C5118" w:rsidRDefault="005C5118" w:rsidP="001B5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DC8"/>
    <w:multiLevelType w:val="hybridMultilevel"/>
    <w:tmpl w:val="03AAF5A0"/>
    <w:lvl w:ilvl="0" w:tplc="928EC690">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CEC3CA0"/>
    <w:multiLevelType w:val="hybridMultilevel"/>
    <w:tmpl w:val="1BB66438"/>
    <w:lvl w:ilvl="0" w:tplc="388CDCF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6E73509"/>
    <w:multiLevelType w:val="hybridMultilevel"/>
    <w:tmpl w:val="FEB62B9C"/>
    <w:lvl w:ilvl="0" w:tplc="914216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323721C"/>
    <w:multiLevelType w:val="hybridMultilevel"/>
    <w:tmpl w:val="E988B0C8"/>
    <w:lvl w:ilvl="0" w:tplc="07FEF73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7FE4B96"/>
    <w:multiLevelType w:val="hybridMultilevel"/>
    <w:tmpl w:val="2F065F9C"/>
    <w:lvl w:ilvl="0" w:tplc="428664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B210EE0"/>
    <w:multiLevelType w:val="hybridMultilevel"/>
    <w:tmpl w:val="C70A6A2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48F744E"/>
    <w:multiLevelType w:val="hybridMultilevel"/>
    <w:tmpl w:val="30C2E8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59A4464"/>
    <w:multiLevelType w:val="hybridMultilevel"/>
    <w:tmpl w:val="8F7CEF22"/>
    <w:lvl w:ilvl="0" w:tplc="43EAC7D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B650FF"/>
    <w:multiLevelType w:val="multilevel"/>
    <w:tmpl w:val="08702AE8"/>
    <w:lvl w:ilvl="0">
      <w:numFmt w:val="decimalZero"/>
      <w:lvlText w:val="%1-0"/>
      <w:lvlJc w:val="left"/>
      <w:pPr>
        <w:ind w:left="780" w:hanging="780"/>
      </w:pPr>
    </w:lvl>
    <w:lvl w:ilvl="1">
      <w:start w:val="1"/>
      <w:numFmt w:val="decimalZero"/>
      <w:lvlText w:val="%1-%2"/>
      <w:lvlJc w:val="left"/>
      <w:pPr>
        <w:ind w:left="1500" w:hanging="780"/>
      </w:pPr>
    </w:lvl>
    <w:lvl w:ilvl="2">
      <w:start w:val="1"/>
      <w:numFmt w:val="decimal"/>
      <w:lvlText w:val="%1-%2.%3"/>
      <w:lvlJc w:val="left"/>
      <w:pPr>
        <w:ind w:left="2220" w:hanging="780"/>
      </w:pPr>
    </w:lvl>
    <w:lvl w:ilvl="3">
      <w:start w:val="1"/>
      <w:numFmt w:val="decimal"/>
      <w:lvlText w:val="%1-%2.%3.%4"/>
      <w:lvlJc w:val="left"/>
      <w:pPr>
        <w:ind w:left="2940" w:hanging="78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5F6F6749"/>
    <w:multiLevelType w:val="hybridMultilevel"/>
    <w:tmpl w:val="7362E1FE"/>
    <w:lvl w:ilvl="0" w:tplc="9C62F0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2D840B0"/>
    <w:multiLevelType w:val="hybridMultilevel"/>
    <w:tmpl w:val="6B563CE8"/>
    <w:lvl w:ilvl="0" w:tplc="07FEF7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91363026">
    <w:abstractNumId w:val="10"/>
  </w:num>
  <w:num w:numId="2" w16cid:durableId="164816595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2246377">
    <w:abstractNumId w:val="1"/>
  </w:num>
  <w:num w:numId="4" w16cid:durableId="1818062262">
    <w:abstractNumId w:val="0"/>
  </w:num>
  <w:num w:numId="5" w16cid:durableId="1708026189">
    <w:abstractNumId w:val="3"/>
  </w:num>
  <w:num w:numId="6" w16cid:durableId="1404180581">
    <w:abstractNumId w:val="4"/>
  </w:num>
  <w:num w:numId="7" w16cid:durableId="384838032">
    <w:abstractNumId w:val="5"/>
  </w:num>
  <w:num w:numId="8" w16cid:durableId="869950248">
    <w:abstractNumId w:val="9"/>
  </w:num>
  <w:num w:numId="9" w16cid:durableId="742992893">
    <w:abstractNumId w:val="6"/>
  </w:num>
  <w:num w:numId="10" w16cid:durableId="294213512">
    <w:abstractNumId w:val="2"/>
  </w:num>
  <w:num w:numId="11" w16cid:durableId="2826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65"/>
    <w:rsid w:val="00097865"/>
    <w:rsid w:val="00197F64"/>
    <w:rsid w:val="001B5598"/>
    <w:rsid w:val="00203314"/>
    <w:rsid w:val="00314627"/>
    <w:rsid w:val="00370373"/>
    <w:rsid w:val="003A3E86"/>
    <w:rsid w:val="003B225D"/>
    <w:rsid w:val="003D41DD"/>
    <w:rsid w:val="003E6416"/>
    <w:rsid w:val="004F3885"/>
    <w:rsid w:val="00531922"/>
    <w:rsid w:val="0059259C"/>
    <w:rsid w:val="005C5118"/>
    <w:rsid w:val="005E7B15"/>
    <w:rsid w:val="00606AB0"/>
    <w:rsid w:val="006A4AE9"/>
    <w:rsid w:val="006D6206"/>
    <w:rsid w:val="0078203F"/>
    <w:rsid w:val="00785DA4"/>
    <w:rsid w:val="007D3D0A"/>
    <w:rsid w:val="00826A1E"/>
    <w:rsid w:val="00847F8B"/>
    <w:rsid w:val="008A7876"/>
    <w:rsid w:val="00963AA3"/>
    <w:rsid w:val="00975109"/>
    <w:rsid w:val="009941F3"/>
    <w:rsid w:val="009B7B92"/>
    <w:rsid w:val="00AA13B6"/>
    <w:rsid w:val="00AA4F06"/>
    <w:rsid w:val="00B7361A"/>
    <w:rsid w:val="00B80594"/>
    <w:rsid w:val="00C40A65"/>
    <w:rsid w:val="00CA1C16"/>
    <w:rsid w:val="00D1619F"/>
    <w:rsid w:val="00D276EE"/>
    <w:rsid w:val="00D351AA"/>
    <w:rsid w:val="00D56A3E"/>
    <w:rsid w:val="00D906B6"/>
    <w:rsid w:val="00DA379E"/>
    <w:rsid w:val="00E03E2A"/>
    <w:rsid w:val="00E3457D"/>
    <w:rsid w:val="00E45AAD"/>
    <w:rsid w:val="00E8608F"/>
    <w:rsid w:val="00EF14A3"/>
    <w:rsid w:val="00F047C4"/>
    <w:rsid w:val="00F225DA"/>
    <w:rsid w:val="00F641D7"/>
    <w:rsid w:val="00F73859"/>
    <w:rsid w:val="00FC261C"/>
    <w:rsid w:val="00FE04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3CD50"/>
  <w15:docId w15:val="{E5D1FDDB-D4CC-437C-8961-66B5A0C3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0A6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0A65"/>
    <w:pPr>
      <w:ind w:left="808"/>
      <w:jc w:val="both"/>
      <w:outlineLvl w:val="0"/>
    </w:pPr>
    <w:rPr>
      <w:b/>
      <w:bCs/>
      <w:sz w:val="24"/>
      <w:szCs w:val="24"/>
    </w:rPr>
  </w:style>
  <w:style w:type="paragraph" w:styleId="Heading2">
    <w:name w:val="heading 2"/>
    <w:basedOn w:val="Normal"/>
    <w:next w:val="Normal"/>
    <w:link w:val="Heading2Char"/>
    <w:uiPriority w:val="9"/>
    <w:semiHidden/>
    <w:unhideWhenUsed/>
    <w:qFormat/>
    <w:rsid w:val="00B736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0A6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40A65"/>
    <w:rPr>
      <w:sz w:val="24"/>
      <w:szCs w:val="24"/>
    </w:rPr>
  </w:style>
  <w:style w:type="character" w:customStyle="1" w:styleId="BodyTextChar">
    <w:name w:val="Body Text Char"/>
    <w:basedOn w:val="DefaultParagraphFont"/>
    <w:link w:val="BodyText"/>
    <w:uiPriority w:val="1"/>
    <w:rsid w:val="00C40A6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40A65"/>
  </w:style>
  <w:style w:type="paragraph" w:styleId="NormalWeb">
    <w:name w:val="Normal (Web)"/>
    <w:basedOn w:val="Normal"/>
    <w:uiPriority w:val="99"/>
    <w:unhideWhenUsed/>
    <w:rsid w:val="00C40A65"/>
    <w:pPr>
      <w:widowControl/>
      <w:autoSpaceDE/>
      <w:autoSpaceDN/>
      <w:spacing w:before="100" w:beforeAutospacing="1" w:after="100" w:afterAutospacing="1"/>
    </w:pPr>
    <w:rPr>
      <w:sz w:val="24"/>
      <w:szCs w:val="24"/>
      <w:lang w:val="en-US"/>
    </w:rPr>
  </w:style>
  <w:style w:type="character" w:styleId="Hyperlink">
    <w:name w:val="Hyperlink"/>
    <w:basedOn w:val="DefaultParagraphFont"/>
    <w:uiPriority w:val="99"/>
    <w:unhideWhenUsed/>
    <w:rsid w:val="00C40A65"/>
    <w:rPr>
      <w:color w:val="0000FF"/>
      <w:u w:val="single"/>
    </w:rPr>
  </w:style>
  <w:style w:type="paragraph" w:styleId="ListParagraph">
    <w:name w:val="List Paragraph"/>
    <w:basedOn w:val="Normal"/>
    <w:link w:val="ListParagraphChar"/>
    <w:uiPriority w:val="34"/>
    <w:qFormat/>
    <w:rsid w:val="00F047C4"/>
    <w:pPr>
      <w:widowControl/>
      <w:autoSpaceDE/>
      <w:autoSpaceDN/>
      <w:spacing w:after="160" w:line="259" w:lineRule="auto"/>
      <w:ind w:left="720"/>
      <w:contextualSpacing/>
      <w:jc w:val="both"/>
    </w:pPr>
    <w:rPr>
      <w:rFonts w:asciiTheme="minorHAnsi" w:eastAsiaTheme="minorHAnsi" w:hAnsiTheme="minorHAnsi" w:cstheme="minorBidi"/>
      <w:lang w:val="en-US"/>
    </w:rPr>
  </w:style>
  <w:style w:type="character" w:customStyle="1" w:styleId="ListParagraphChar">
    <w:name w:val="List Paragraph Char"/>
    <w:basedOn w:val="DefaultParagraphFont"/>
    <w:link w:val="ListParagraph"/>
    <w:uiPriority w:val="34"/>
    <w:locked/>
    <w:rsid w:val="00F047C4"/>
    <w:rPr>
      <w:lang w:val="en-US"/>
    </w:rPr>
  </w:style>
  <w:style w:type="paragraph" w:customStyle="1" w:styleId="BasicParagraph">
    <w:name w:val="[Basic Paragraph]"/>
    <w:basedOn w:val="Normal"/>
    <w:uiPriority w:val="99"/>
    <w:rsid w:val="00F047C4"/>
    <w:pPr>
      <w:widowControl/>
      <w:adjustRightInd w:val="0"/>
      <w:spacing w:line="288" w:lineRule="auto"/>
    </w:pPr>
    <w:rPr>
      <w:rFonts w:ascii="Calisto MT" w:eastAsia="Calibri" w:hAnsi="Calisto MT" w:cs="Calisto MT"/>
      <w:color w:val="000000"/>
      <w:sz w:val="20"/>
      <w:szCs w:val="20"/>
      <w:lang w:val="en-GB"/>
    </w:rPr>
  </w:style>
  <w:style w:type="paragraph" w:styleId="Header">
    <w:name w:val="header"/>
    <w:basedOn w:val="Normal"/>
    <w:link w:val="HeaderChar"/>
    <w:uiPriority w:val="99"/>
    <w:unhideWhenUsed/>
    <w:rsid w:val="001B5598"/>
    <w:pPr>
      <w:tabs>
        <w:tab w:val="center" w:pos="4513"/>
        <w:tab w:val="right" w:pos="9026"/>
      </w:tabs>
    </w:pPr>
  </w:style>
  <w:style w:type="character" w:customStyle="1" w:styleId="HeaderChar">
    <w:name w:val="Header Char"/>
    <w:basedOn w:val="DefaultParagraphFont"/>
    <w:link w:val="Header"/>
    <w:uiPriority w:val="99"/>
    <w:rsid w:val="001B5598"/>
    <w:rPr>
      <w:rFonts w:ascii="Times New Roman" w:eastAsia="Times New Roman" w:hAnsi="Times New Roman" w:cs="Times New Roman"/>
    </w:rPr>
  </w:style>
  <w:style w:type="paragraph" w:styleId="Footer">
    <w:name w:val="footer"/>
    <w:basedOn w:val="Normal"/>
    <w:link w:val="FooterChar"/>
    <w:uiPriority w:val="99"/>
    <w:unhideWhenUsed/>
    <w:rsid w:val="001B5598"/>
    <w:pPr>
      <w:tabs>
        <w:tab w:val="center" w:pos="4513"/>
        <w:tab w:val="right" w:pos="9026"/>
      </w:tabs>
    </w:pPr>
  </w:style>
  <w:style w:type="character" w:customStyle="1" w:styleId="FooterChar">
    <w:name w:val="Footer Char"/>
    <w:basedOn w:val="DefaultParagraphFont"/>
    <w:link w:val="Footer"/>
    <w:uiPriority w:val="99"/>
    <w:rsid w:val="001B5598"/>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EF1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F14A3"/>
    <w:rPr>
      <w:rFonts w:ascii="Courier New" w:eastAsia="Times New Roman" w:hAnsi="Courier New" w:cs="Courier New"/>
      <w:sz w:val="20"/>
      <w:szCs w:val="20"/>
      <w:lang w:eastAsia="id-ID"/>
    </w:rPr>
  </w:style>
  <w:style w:type="character" w:customStyle="1" w:styleId="y2iqfc">
    <w:name w:val="y2iqfc"/>
    <w:basedOn w:val="DefaultParagraphFont"/>
    <w:rsid w:val="00EF14A3"/>
  </w:style>
  <w:style w:type="table" w:customStyle="1" w:styleId="TableGrid">
    <w:name w:val="TableGrid"/>
    <w:rsid w:val="00975109"/>
    <w:pPr>
      <w:spacing w:after="0" w:line="240" w:lineRule="auto"/>
    </w:pPr>
    <w:rPr>
      <w:rFonts w:eastAsia="Times New Roman"/>
      <w:lang w:eastAsia="id-ID"/>
    </w:rPr>
    <w:tblPr>
      <w:tblCellMar>
        <w:top w:w="0" w:type="dxa"/>
        <w:left w:w="0" w:type="dxa"/>
        <w:bottom w:w="0" w:type="dxa"/>
        <w:right w:w="0" w:type="dxa"/>
      </w:tblCellMar>
    </w:tblPr>
  </w:style>
  <w:style w:type="table" w:customStyle="1" w:styleId="TableGrid6">
    <w:name w:val="Table Grid6"/>
    <w:basedOn w:val="TableNormal"/>
    <w:next w:val="TableGrid0"/>
    <w:uiPriority w:val="59"/>
    <w:rsid w:val="004F38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59"/>
    <w:rsid w:val="004F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0"/>
    <w:uiPriority w:val="59"/>
    <w:rsid w:val="0037037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59"/>
    <w:rsid w:val="00F641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361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375">
      <w:bodyDiv w:val="1"/>
      <w:marLeft w:val="0"/>
      <w:marRight w:val="0"/>
      <w:marTop w:val="0"/>
      <w:marBottom w:val="0"/>
      <w:divBdr>
        <w:top w:val="none" w:sz="0" w:space="0" w:color="auto"/>
        <w:left w:val="none" w:sz="0" w:space="0" w:color="auto"/>
        <w:bottom w:val="none" w:sz="0" w:space="0" w:color="auto"/>
        <w:right w:val="none" w:sz="0" w:space="0" w:color="auto"/>
      </w:divBdr>
    </w:div>
    <w:div w:id="326321780">
      <w:bodyDiv w:val="1"/>
      <w:marLeft w:val="0"/>
      <w:marRight w:val="0"/>
      <w:marTop w:val="0"/>
      <w:marBottom w:val="0"/>
      <w:divBdr>
        <w:top w:val="none" w:sz="0" w:space="0" w:color="auto"/>
        <w:left w:val="none" w:sz="0" w:space="0" w:color="auto"/>
        <w:bottom w:val="none" w:sz="0" w:space="0" w:color="auto"/>
        <w:right w:val="none" w:sz="0" w:space="0" w:color="auto"/>
      </w:divBdr>
    </w:div>
    <w:div w:id="382750108">
      <w:bodyDiv w:val="1"/>
      <w:marLeft w:val="0"/>
      <w:marRight w:val="0"/>
      <w:marTop w:val="0"/>
      <w:marBottom w:val="0"/>
      <w:divBdr>
        <w:top w:val="none" w:sz="0" w:space="0" w:color="auto"/>
        <w:left w:val="none" w:sz="0" w:space="0" w:color="auto"/>
        <w:bottom w:val="none" w:sz="0" w:space="0" w:color="auto"/>
        <w:right w:val="none" w:sz="0" w:space="0" w:color="auto"/>
      </w:divBdr>
    </w:div>
    <w:div w:id="383068765">
      <w:bodyDiv w:val="1"/>
      <w:marLeft w:val="0"/>
      <w:marRight w:val="0"/>
      <w:marTop w:val="0"/>
      <w:marBottom w:val="0"/>
      <w:divBdr>
        <w:top w:val="none" w:sz="0" w:space="0" w:color="auto"/>
        <w:left w:val="none" w:sz="0" w:space="0" w:color="auto"/>
        <w:bottom w:val="none" w:sz="0" w:space="0" w:color="auto"/>
        <w:right w:val="none" w:sz="0" w:space="0" w:color="auto"/>
      </w:divBdr>
    </w:div>
    <w:div w:id="410666163">
      <w:bodyDiv w:val="1"/>
      <w:marLeft w:val="0"/>
      <w:marRight w:val="0"/>
      <w:marTop w:val="0"/>
      <w:marBottom w:val="0"/>
      <w:divBdr>
        <w:top w:val="none" w:sz="0" w:space="0" w:color="auto"/>
        <w:left w:val="none" w:sz="0" w:space="0" w:color="auto"/>
        <w:bottom w:val="none" w:sz="0" w:space="0" w:color="auto"/>
        <w:right w:val="none" w:sz="0" w:space="0" w:color="auto"/>
      </w:divBdr>
    </w:div>
    <w:div w:id="568223473">
      <w:bodyDiv w:val="1"/>
      <w:marLeft w:val="0"/>
      <w:marRight w:val="0"/>
      <w:marTop w:val="0"/>
      <w:marBottom w:val="0"/>
      <w:divBdr>
        <w:top w:val="none" w:sz="0" w:space="0" w:color="auto"/>
        <w:left w:val="none" w:sz="0" w:space="0" w:color="auto"/>
        <w:bottom w:val="none" w:sz="0" w:space="0" w:color="auto"/>
        <w:right w:val="none" w:sz="0" w:space="0" w:color="auto"/>
      </w:divBdr>
    </w:div>
    <w:div w:id="625770136">
      <w:bodyDiv w:val="1"/>
      <w:marLeft w:val="0"/>
      <w:marRight w:val="0"/>
      <w:marTop w:val="0"/>
      <w:marBottom w:val="0"/>
      <w:divBdr>
        <w:top w:val="none" w:sz="0" w:space="0" w:color="auto"/>
        <w:left w:val="none" w:sz="0" w:space="0" w:color="auto"/>
        <w:bottom w:val="none" w:sz="0" w:space="0" w:color="auto"/>
        <w:right w:val="none" w:sz="0" w:space="0" w:color="auto"/>
      </w:divBdr>
    </w:div>
    <w:div w:id="696544983">
      <w:bodyDiv w:val="1"/>
      <w:marLeft w:val="0"/>
      <w:marRight w:val="0"/>
      <w:marTop w:val="0"/>
      <w:marBottom w:val="0"/>
      <w:divBdr>
        <w:top w:val="none" w:sz="0" w:space="0" w:color="auto"/>
        <w:left w:val="none" w:sz="0" w:space="0" w:color="auto"/>
        <w:bottom w:val="none" w:sz="0" w:space="0" w:color="auto"/>
        <w:right w:val="none" w:sz="0" w:space="0" w:color="auto"/>
      </w:divBdr>
    </w:div>
    <w:div w:id="703019118">
      <w:bodyDiv w:val="1"/>
      <w:marLeft w:val="0"/>
      <w:marRight w:val="0"/>
      <w:marTop w:val="0"/>
      <w:marBottom w:val="0"/>
      <w:divBdr>
        <w:top w:val="none" w:sz="0" w:space="0" w:color="auto"/>
        <w:left w:val="none" w:sz="0" w:space="0" w:color="auto"/>
        <w:bottom w:val="none" w:sz="0" w:space="0" w:color="auto"/>
        <w:right w:val="none" w:sz="0" w:space="0" w:color="auto"/>
      </w:divBdr>
    </w:div>
    <w:div w:id="850992134">
      <w:bodyDiv w:val="1"/>
      <w:marLeft w:val="0"/>
      <w:marRight w:val="0"/>
      <w:marTop w:val="0"/>
      <w:marBottom w:val="0"/>
      <w:divBdr>
        <w:top w:val="none" w:sz="0" w:space="0" w:color="auto"/>
        <w:left w:val="none" w:sz="0" w:space="0" w:color="auto"/>
        <w:bottom w:val="none" w:sz="0" w:space="0" w:color="auto"/>
        <w:right w:val="none" w:sz="0" w:space="0" w:color="auto"/>
      </w:divBdr>
    </w:div>
    <w:div w:id="876352861">
      <w:bodyDiv w:val="1"/>
      <w:marLeft w:val="0"/>
      <w:marRight w:val="0"/>
      <w:marTop w:val="0"/>
      <w:marBottom w:val="0"/>
      <w:divBdr>
        <w:top w:val="none" w:sz="0" w:space="0" w:color="auto"/>
        <w:left w:val="none" w:sz="0" w:space="0" w:color="auto"/>
        <w:bottom w:val="none" w:sz="0" w:space="0" w:color="auto"/>
        <w:right w:val="none" w:sz="0" w:space="0" w:color="auto"/>
      </w:divBdr>
    </w:div>
    <w:div w:id="965627290">
      <w:bodyDiv w:val="1"/>
      <w:marLeft w:val="0"/>
      <w:marRight w:val="0"/>
      <w:marTop w:val="0"/>
      <w:marBottom w:val="0"/>
      <w:divBdr>
        <w:top w:val="none" w:sz="0" w:space="0" w:color="auto"/>
        <w:left w:val="none" w:sz="0" w:space="0" w:color="auto"/>
        <w:bottom w:val="none" w:sz="0" w:space="0" w:color="auto"/>
        <w:right w:val="none" w:sz="0" w:space="0" w:color="auto"/>
      </w:divBdr>
    </w:div>
    <w:div w:id="1128625711">
      <w:bodyDiv w:val="1"/>
      <w:marLeft w:val="0"/>
      <w:marRight w:val="0"/>
      <w:marTop w:val="0"/>
      <w:marBottom w:val="0"/>
      <w:divBdr>
        <w:top w:val="none" w:sz="0" w:space="0" w:color="auto"/>
        <w:left w:val="none" w:sz="0" w:space="0" w:color="auto"/>
        <w:bottom w:val="none" w:sz="0" w:space="0" w:color="auto"/>
        <w:right w:val="none" w:sz="0" w:space="0" w:color="auto"/>
      </w:divBdr>
    </w:div>
    <w:div w:id="1222985132">
      <w:bodyDiv w:val="1"/>
      <w:marLeft w:val="0"/>
      <w:marRight w:val="0"/>
      <w:marTop w:val="0"/>
      <w:marBottom w:val="0"/>
      <w:divBdr>
        <w:top w:val="none" w:sz="0" w:space="0" w:color="auto"/>
        <w:left w:val="none" w:sz="0" w:space="0" w:color="auto"/>
        <w:bottom w:val="none" w:sz="0" w:space="0" w:color="auto"/>
        <w:right w:val="none" w:sz="0" w:space="0" w:color="auto"/>
      </w:divBdr>
    </w:div>
    <w:div w:id="1342975951">
      <w:bodyDiv w:val="1"/>
      <w:marLeft w:val="0"/>
      <w:marRight w:val="0"/>
      <w:marTop w:val="0"/>
      <w:marBottom w:val="0"/>
      <w:divBdr>
        <w:top w:val="none" w:sz="0" w:space="0" w:color="auto"/>
        <w:left w:val="none" w:sz="0" w:space="0" w:color="auto"/>
        <w:bottom w:val="none" w:sz="0" w:space="0" w:color="auto"/>
        <w:right w:val="none" w:sz="0" w:space="0" w:color="auto"/>
      </w:divBdr>
    </w:div>
    <w:div w:id="1421561951">
      <w:bodyDiv w:val="1"/>
      <w:marLeft w:val="0"/>
      <w:marRight w:val="0"/>
      <w:marTop w:val="0"/>
      <w:marBottom w:val="0"/>
      <w:divBdr>
        <w:top w:val="none" w:sz="0" w:space="0" w:color="auto"/>
        <w:left w:val="none" w:sz="0" w:space="0" w:color="auto"/>
        <w:bottom w:val="none" w:sz="0" w:space="0" w:color="auto"/>
        <w:right w:val="none" w:sz="0" w:space="0" w:color="auto"/>
      </w:divBdr>
    </w:div>
    <w:div w:id="1486705720">
      <w:bodyDiv w:val="1"/>
      <w:marLeft w:val="0"/>
      <w:marRight w:val="0"/>
      <w:marTop w:val="0"/>
      <w:marBottom w:val="0"/>
      <w:divBdr>
        <w:top w:val="none" w:sz="0" w:space="0" w:color="auto"/>
        <w:left w:val="none" w:sz="0" w:space="0" w:color="auto"/>
        <w:bottom w:val="none" w:sz="0" w:space="0" w:color="auto"/>
        <w:right w:val="none" w:sz="0" w:space="0" w:color="auto"/>
      </w:divBdr>
    </w:div>
    <w:div w:id="1549075685">
      <w:bodyDiv w:val="1"/>
      <w:marLeft w:val="0"/>
      <w:marRight w:val="0"/>
      <w:marTop w:val="0"/>
      <w:marBottom w:val="0"/>
      <w:divBdr>
        <w:top w:val="none" w:sz="0" w:space="0" w:color="auto"/>
        <w:left w:val="none" w:sz="0" w:space="0" w:color="auto"/>
        <w:bottom w:val="none" w:sz="0" w:space="0" w:color="auto"/>
        <w:right w:val="none" w:sz="0" w:space="0" w:color="auto"/>
      </w:divBdr>
    </w:div>
    <w:div w:id="1550263878">
      <w:bodyDiv w:val="1"/>
      <w:marLeft w:val="0"/>
      <w:marRight w:val="0"/>
      <w:marTop w:val="0"/>
      <w:marBottom w:val="0"/>
      <w:divBdr>
        <w:top w:val="none" w:sz="0" w:space="0" w:color="auto"/>
        <w:left w:val="none" w:sz="0" w:space="0" w:color="auto"/>
        <w:bottom w:val="none" w:sz="0" w:space="0" w:color="auto"/>
        <w:right w:val="none" w:sz="0" w:space="0" w:color="auto"/>
      </w:divBdr>
    </w:div>
    <w:div w:id="1576280990">
      <w:bodyDiv w:val="1"/>
      <w:marLeft w:val="0"/>
      <w:marRight w:val="0"/>
      <w:marTop w:val="0"/>
      <w:marBottom w:val="0"/>
      <w:divBdr>
        <w:top w:val="none" w:sz="0" w:space="0" w:color="auto"/>
        <w:left w:val="none" w:sz="0" w:space="0" w:color="auto"/>
        <w:bottom w:val="none" w:sz="0" w:space="0" w:color="auto"/>
        <w:right w:val="none" w:sz="0" w:space="0" w:color="auto"/>
      </w:divBdr>
    </w:div>
    <w:div w:id="1583948200">
      <w:bodyDiv w:val="1"/>
      <w:marLeft w:val="0"/>
      <w:marRight w:val="0"/>
      <w:marTop w:val="0"/>
      <w:marBottom w:val="0"/>
      <w:divBdr>
        <w:top w:val="none" w:sz="0" w:space="0" w:color="auto"/>
        <w:left w:val="none" w:sz="0" w:space="0" w:color="auto"/>
        <w:bottom w:val="none" w:sz="0" w:space="0" w:color="auto"/>
        <w:right w:val="none" w:sz="0" w:space="0" w:color="auto"/>
      </w:divBdr>
    </w:div>
    <w:div w:id="1584145099">
      <w:bodyDiv w:val="1"/>
      <w:marLeft w:val="0"/>
      <w:marRight w:val="0"/>
      <w:marTop w:val="0"/>
      <w:marBottom w:val="0"/>
      <w:divBdr>
        <w:top w:val="none" w:sz="0" w:space="0" w:color="auto"/>
        <w:left w:val="none" w:sz="0" w:space="0" w:color="auto"/>
        <w:bottom w:val="none" w:sz="0" w:space="0" w:color="auto"/>
        <w:right w:val="none" w:sz="0" w:space="0" w:color="auto"/>
      </w:divBdr>
    </w:div>
    <w:div w:id="1732271870">
      <w:bodyDiv w:val="1"/>
      <w:marLeft w:val="0"/>
      <w:marRight w:val="0"/>
      <w:marTop w:val="0"/>
      <w:marBottom w:val="0"/>
      <w:divBdr>
        <w:top w:val="none" w:sz="0" w:space="0" w:color="auto"/>
        <w:left w:val="none" w:sz="0" w:space="0" w:color="auto"/>
        <w:bottom w:val="none" w:sz="0" w:space="0" w:color="auto"/>
        <w:right w:val="none" w:sz="0" w:space="0" w:color="auto"/>
      </w:divBdr>
    </w:div>
    <w:div w:id="1833793337">
      <w:bodyDiv w:val="1"/>
      <w:marLeft w:val="0"/>
      <w:marRight w:val="0"/>
      <w:marTop w:val="0"/>
      <w:marBottom w:val="0"/>
      <w:divBdr>
        <w:top w:val="none" w:sz="0" w:space="0" w:color="auto"/>
        <w:left w:val="none" w:sz="0" w:space="0" w:color="auto"/>
        <w:bottom w:val="none" w:sz="0" w:space="0" w:color="auto"/>
        <w:right w:val="none" w:sz="0" w:space="0" w:color="auto"/>
      </w:divBdr>
    </w:div>
    <w:div w:id="1940481116">
      <w:bodyDiv w:val="1"/>
      <w:marLeft w:val="0"/>
      <w:marRight w:val="0"/>
      <w:marTop w:val="0"/>
      <w:marBottom w:val="0"/>
      <w:divBdr>
        <w:top w:val="none" w:sz="0" w:space="0" w:color="auto"/>
        <w:left w:val="none" w:sz="0" w:space="0" w:color="auto"/>
        <w:bottom w:val="none" w:sz="0" w:space="0" w:color="auto"/>
        <w:right w:val="none" w:sz="0" w:space="0" w:color="auto"/>
      </w:divBdr>
    </w:div>
    <w:div w:id="1941133924">
      <w:bodyDiv w:val="1"/>
      <w:marLeft w:val="0"/>
      <w:marRight w:val="0"/>
      <w:marTop w:val="0"/>
      <w:marBottom w:val="0"/>
      <w:divBdr>
        <w:top w:val="none" w:sz="0" w:space="0" w:color="auto"/>
        <w:left w:val="none" w:sz="0" w:space="0" w:color="auto"/>
        <w:bottom w:val="none" w:sz="0" w:space="0" w:color="auto"/>
        <w:right w:val="none" w:sz="0" w:space="0" w:color="auto"/>
      </w:divBdr>
    </w:div>
    <w:div w:id="198141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Kholida</cp:lastModifiedBy>
  <cp:revision>3</cp:revision>
  <dcterms:created xsi:type="dcterms:W3CDTF">2022-06-03T10:06:00Z</dcterms:created>
  <dcterms:modified xsi:type="dcterms:W3CDTF">2022-06-03T10:15:00Z</dcterms:modified>
</cp:coreProperties>
</file>