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0"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09"/>
        <w:gridCol w:w="6924"/>
      </w:tblGrid>
      <w:tr w:rsidR="00F047C4" w14:paraId="05843C7B" w14:textId="77777777" w:rsidTr="002D194D">
        <w:tc>
          <w:tcPr>
            <w:tcW w:w="1277" w:type="dxa"/>
            <w:tcBorders>
              <w:top w:val="single" w:sz="4" w:space="0" w:color="auto"/>
              <w:left w:val="nil"/>
              <w:bottom w:val="single" w:sz="18" w:space="0" w:color="auto"/>
              <w:right w:val="nil"/>
            </w:tcBorders>
            <w:vAlign w:val="center"/>
          </w:tcPr>
          <w:p w14:paraId="41C4EF7B" w14:textId="77777777" w:rsidR="00F047C4" w:rsidRDefault="00F047C4" w:rsidP="001B5598">
            <w:pPr>
              <w:pStyle w:val="BasicParagraph"/>
              <w:spacing w:line="240" w:lineRule="auto"/>
              <w:jc w:val="both"/>
              <w:rPr>
                <w:rFonts w:cs="Times New Roman"/>
                <w:b/>
                <w:bCs/>
              </w:rPr>
            </w:pPr>
            <w:bookmarkStart w:id="0" w:name="_Toc523302771"/>
          </w:p>
        </w:tc>
        <w:tc>
          <w:tcPr>
            <w:tcW w:w="7633" w:type="dxa"/>
            <w:gridSpan w:val="2"/>
            <w:tcBorders>
              <w:top w:val="single" w:sz="4" w:space="0" w:color="auto"/>
              <w:left w:val="nil"/>
              <w:bottom w:val="single" w:sz="18" w:space="0" w:color="auto"/>
              <w:right w:val="nil"/>
            </w:tcBorders>
            <w:shd w:val="clear" w:color="auto" w:fill="F2F2F2"/>
          </w:tcPr>
          <w:p w14:paraId="3B241F58" w14:textId="77777777" w:rsidR="00F047C4" w:rsidRDefault="00F047C4" w:rsidP="001B5598">
            <w:pPr>
              <w:pStyle w:val="BasicParagraph"/>
              <w:spacing w:line="240" w:lineRule="auto"/>
              <w:jc w:val="both"/>
              <w:rPr>
                <w:rFonts w:ascii="Minion Pro" w:hAnsi="Minion Pro" w:cs="Minion Pro"/>
                <w:sz w:val="8"/>
                <w:szCs w:val="16"/>
              </w:rPr>
            </w:pPr>
          </w:p>
          <w:p w14:paraId="73D34EC1" w14:textId="1B3FFFA5" w:rsidR="00F047C4" w:rsidRPr="002D194D" w:rsidRDefault="00F047C4" w:rsidP="001B5598">
            <w:pPr>
              <w:pStyle w:val="BasicParagraph"/>
              <w:spacing w:line="240" w:lineRule="auto"/>
              <w:jc w:val="center"/>
              <w:rPr>
                <w:rFonts w:ascii="Minion Pro" w:hAnsi="Minion Pro" w:cs="Minion Pro"/>
                <w:sz w:val="16"/>
                <w:szCs w:val="16"/>
                <w:lang w:val="en-US"/>
              </w:rPr>
            </w:pPr>
            <w:r>
              <w:rPr>
                <w:rFonts w:ascii="Minion Pro" w:hAnsi="Minion Pro" w:cs="Minion Pro"/>
                <w:sz w:val="16"/>
                <w:szCs w:val="16"/>
              </w:rPr>
              <w:t xml:space="preserve">IJATB Vol. </w:t>
            </w:r>
            <w:r w:rsidR="002D194D">
              <w:rPr>
                <w:rFonts w:ascii="Minion Pro" w:hAnsi="Minion Pro" w:cs="Minion Pro"/>
                <w:sz w:val="16"/>
                <w:szCs w:val="16"/>
                <w:lang w:val="en-US"/>
              </w:rPr>
              <w:t>3</w:t>
            </w:r>
            <w:r>
              <w:rPr>
                <w:rFonts w:ascii="Minion Pro" w:hAnsi="Minion Pro" w:cs="Minion Pro"/>
                <w:sz w:val="16"/>
                <w:szCs w:val="16"/>
              </w:rPr>
              <w:t xml:space="preserve">, No. </w:t>
            </w:r>
            <w:r w:rsidR="002D194D">
              <w:rPr>
                <w:rFonts w:ascii="Minion Pro" w:hAnsi="Minion Pro" w:cs="Minion Pro"/>
                <w:sz w:val="16"/>
                <w:szCs w:val="16"/>
                <w:lang w:val="en-US"/>
              </w:rPr>
              <w:t>2</w:t>
            </w:r>
            <w:r>
              <w:rPr>
                <w:rFonts w:ascii="Minion Pro" w:hAnsi="Minion Pro" w:cs="Minion Pro"/>
                <w:sz w:val="16"/>
                <w:szCs w:val="16"/>
              </w:rPr>
              <w:t>, 20</w:t>
            </w:r>
            <w:r>
              <w:rPr>
                <w:rFonts w:ascii="Minion Pro" w:hAnsi="Minion Pro" w:cs="Minion Pro"/>
                <w:sz w:val="16"/>
                <w:szCs w:val="16"/>
                <w:lang w:val="id-ID"/>
              </w:rPr>
              <w:t>2</w:t>
            </w:r>
            <w:r w:rsidR="002D194D">
              <w:rPr>
                <w:rFonts w:ascii="Minion Pro" w:hAnsi="Minion Pro" w:cs="Minion Pro"/>
                <w:sz w:val="16"/>
                <w:szCs w:val="16"/>
                <w:lang w:val="en-US"/>
              </w:rPr>
              <w:t>2</w:t>
            </w:r>
          </w:p>
          <w:p w14:paraId="0C812F83" w14:textId="77777777" w:rsidR="00F047C4" w:rsidRDefault="00F047C4" w:rsidP="001B5598">
            <w:pPr>
              <w:pStyle w:val="BasicParagraph"/>
              <w:spacing w:line="240" w:lineRule="auto"/>
              <w:jc w:val="center"/>
              <w:rPr>
                <w:b/>
                <w:bCs/>
              </w:rPr>
            </w:pPr>
          </w:p>
          <w:p w14:paraId="53086F8F" w14:textId="77777777" w:rsidR="00F047C4" w:rsidRDefault="00F047C4" w:rsidP="001B5598">
            <w:pPr>
              <w:pStyle w:val="BasicParagraph"/>
              <w:spacing w:line="240" w:lineRule="auto"/>
              <w:jc w:val="center"/>
              <w:rPr>
                <w:b/>
                <w:bCs/>
                <w:sz w:val="26"/>
                <w:szCs w:val="26"/>
              </w:rPr>
            </w:pPr>
            <w:r>
              <w:rPr>
                <w:b/>
                <w:bCs/>
                <w:noProof/>
                <w:sz w:val="26"/>
                <w:szCs w:val="26"/>
              </w:rPr>
              <w:t>International Journal of</w:t>
            </w:r>
            <w:r>
              <w:rPr>
                <w:b/>
                <w:bCs/>
                <w:sz w:val="26"/>
                <w:szCs w:val="26"/>
              </w:rPr>
              <w:t xml:space="preserve"> Accounting, Taxation, and Business</w:t>
            </w:r>
          </w:p>
          <w:p w14:paraId="05AC98EB" w14:textId="77777777" w:rsidR="00F047C4" w:rsidRDefault="00F047C4" w:rsidP="001B5598">
            <w:pPr>
              <w:pStyle w:val="BasicParagraph"/>
              <w:spacing w:line="240" w:lineRule="auto"/>
              <w:jc w:val="center"/>
              <w:rPr>
                <w:b/>
                <w:bCs/>
              </w:rPr>
            </w:pPr>
          </w:p>
          <w:p w14:paraId="49732C4A" w14:textId="77777777" w:rsidR="00F047C4" w:rsidRDefault="00F047C4" w:rsidP="001B5598">
            <w:pPr>
              <w:pStyle w:val="BasicParagraph"/>
              <w:spacing w:line="240" w:lineRule="auto"/>
              <w:jc w:val="center"/>
              <w:rPr>
                <w:rFonts w:ascii="Arno Pro" w:hAnsi="Arno Pro" w:cs="Arno Pro"/>
                <w:sz w:val="18"/>
                <w:szCs w:val="18"/>
              </w:rPr>
            </w:pPr>
            <w:r>
              <w:rPr>
                <w:rFonts w:ascii="Arno Pro" w:hAnsi="Arno Pro" w:cs="Arno Pro"/>
                <w:sz w:val="18"/>
                <w:szCs w:val="18"/>
              </w:rPr>
              <w:t>https://journal.unsika.ac.id/index.php/IJATB</w:t>
            </w:r>
          </w:p>
          <w:p w14:paraId="6276E035" w14:textId="77777777" w:rsidR="00F047C4" w:rsidRDefault="00F047C4" w:rsidP="001B5598">
            <w:pPr>
              <w:pStyle w:val="BasicParagraph"/>
              <w:spacing w:line="240" w:lineRule="auto"/>
              <w:jc w:val="both"/>
              <w:rPr>
                <w:rFonts w:cs="Times New Roman"/>
                <w:sz w:val="18"/>
                <w:szCs w:val="18"/>
              </w:rPr>
            </w:pPr>
          </w:p>
        </w:tc>
      </w:tr>
      <w:tr w:rsidR="00F047C4" w14:paraId="075A1C85" w14:textId="77777777" w:rsidTr="002D194D">
        <w:tc>
          <w:tcPr>
            <w:tcW w:w="8910" w:type="dxa"/>
            <w:gridSpan w:val="3"/>
            <w:tcBorders>
              <w:top w:val="single" w:sz="18" w:space="0" w:color="auto"/>
              <w:left w:val="nil"/>
              <w:bottom w:val="single" w:sz="4" w:space="0" w:color="auto"/>
              <w:right w:val="nil"/>
            </w:tcBorders>
          </w:tcPr>
          <w:p w14:paraId="23147A3D" w14:textId="77777777" w:rsidR="00A47ADD" w:rsidRDefault="00A47ADD" w:rsidP="00F047C4">
            <w:pPr>
              <w:pStyle w:val="BodyText"/>
              <w:jc w:val="center"/>
              <w:rPr>
                <w:b/>
                <w:bCs/>
                <w:sz w:val="30"/>
                <w:szCs w:val="30"/>
              </w:rPr>
            </w:pPr>
            <w:r w:rsidRPr="00A47ADD">
              <w:rPr>
                <w:b/>
                <w:bCs/>
                <w:sz w:val="30"/>
                <w:szCs w:val="30"/>
              </w:rPr>
              <w:t>Financial and Non-Financial Analysis of Dividend Policy</w:t>
            </w:r>
          </w:p>
          <w:p w14:paraId="4D23115A" w14:textId="4475D022" w:rsidR="00F047C4" w:rsidRPr="00A47ADD" w:rsidRDefault="00A47ADD" w:rsidP="00F047C4">
            <w:pPr>
              <w:pStyle w:val="BodyText"/>
              <w:jc w:val="center"/>
              <w:rPr>
                <w:b/>
                <w:lang w:val="en-US"/>
              </w:rPr>
            </w:pPr>
            <w:r>
              <w:rPr>
                <w:b/>
                <w:lang w:val="en-US"/>
              </w:rPr>
              <w:t xml:space="preserve">Siti Nur </w:t>
            </w:r>
            <w:proofErr w:type="spellStart"/>
            <w:r>
              <w:rPr>
                <w:b/>
                <w:lang w:val="en-US"/>
              </w:rPr>
              <w:t>Azizah</w:t>
            </w:r>
            <w:proofErr w:type="spellEnd"/>
            <w:r>
              <w:rPr>
                <w:b/>
                <w:lang w:val="en-US"/>
              </w:rPr>
              <w:t xml:space="preserve">*, Farhan Muhammad </w:t>
            </w:r>
            <w:proofErr w:type="spellStart"/>
            <w:r>
              <w:rPr>
                <w:b/>
                <w:lang w:val="en-US"/>
              </w:rPr>
              <w:t>Afif</w:t>
            </w:r>
            <w:proofErr w:type="spellEnd"/>
          </w:p>
          <w:p w14:paraId="555D821C" w14:textId="648EE9E5" w:rsidR="00F047C4" w:rsidRPr="00A47ADD" w:rsidRDefault="00F047C4" w:rsidP="00F047C4">
            <w:pPr>
              <w:pStyle w:val="BodyText"/>
              <w:jc w:val="center"/>
              <w:rPr>
                <w:sz w:val="22"/>
                <w:lang w:val="en-US"/>
              </w:rPr>
            </w:pPr>
            <w:r w:rsidRPr="006205B5">
              <w:rPr>
                <w:sz w:val="22"/>
              </w:rPr>
              <w:t>Accounting Study Program, Faculty of Economics</w:t>
            </w:r>
            <w:r>
              <w:rPr>
                <w:sz w:val="22"/>
                <w:lang w:val="en-US"/>
              </w:rPr>
              <w:t xml:space="preserve">, </w:t>
            </w:r>
            <w:r w:rsidRPr="00AF441C">
              <w:rPr>
                <w:sz w:val="22"/>
              </w:rPr>
              <w:t xml:space="preserve">Universitas </w:t>
            </w:r>
            <w:r w:rsidR="00A47ADD">
              <w:rPr>
                <w:sz w:val="22"/>
                <w:lang w:val="en-US"/>
              </w:rPr>
              <w:t xml:space="preserve">Muhammadiyah </w:t>
            </w:r>
            <w:proofErr w:type="spellStart"/>
            <w:r w:rsidR="00A47ADD">
              <w:rPr>
                <w:sz w:val="22"/>
                <w:lang w:val="en-US"/>
              </w:rPr>
              <w:t>Purwoketo</w:t>
            </w:r>
            <w:proofErr w:type="spellEnd"/>
            <w:r w:rsidRPr="00AF441C">
              <w:rPr>
                <w:sz w:val="22"/>
              </w:rPr>
              <w:t xml:space="preserve">, </w:t>
            </w:r>
            <w:r w:rsidR="00A47ADD">
              <w:rPr>
                <w:sz w:val="22"/>
                <w:lang w:val="en-US"/>
              </w:rPr>
              <w:t>Central Java, Indonesia</w:t>
            </w:r>
          </w:p>
          <w:p w14:paraId="7F5552E5" w14:textId="6FE3C0FE" w:rsidR="00F047C4" w:rsidRPr="00A47ADD" w:rsidRDefault="00F047C4" w:rsidP="001B5598">
            <w:pPr>
              <w:ind w:right="4"/>
              <w:jc w:val="center"/>
              <w:rPr>
                <w:lang w:val="en-US"/>
              </w:rPr>
            </w:pPr>
            <w:r>
              <w:t xml:space="preserve">Corresponding Author : </w:t>
            </w:r>
            <w:r w:rsidR="00A47ADD">
              <w:rPr>
                <w:i/>
                <w:lang w:val="en-US"/>
              </w:rPr>
              <w:t>sitinurazizah@ump.ac.id</w:t>
            </w:r>
          </w:p>
        </w:tc>
      </w:tr>
      <w:tr w:rsidR="00F047C4" w14:paraId="0E3F903A" w14:textId="77777777" w:rsidTr="002D194D">
        <w:tc>
          <w:tcPr>
            <w:tcW w:w="1986" w:type="dxa"/>
            <w:gridSpan w:val="2"/>
            <w:tcBorders>
              <w:top w:val="single" w:sz="4" w:space="0" w:color="auto"/>
              <w:left w:val="nil"/>
              <w:bottom w:val="single" w:sz="4" w:space="0" w:color="auto"/>
              <w:right w:val="nil"/>
            </w:tcBorders>
          </w:tcPr>
          <w:p w14:paraId="2704E193" w14:textId="77777777" w:rsidR="00F047C4" w:rsidRDefault="00F047C4" w:rsidP="001B5598">
            <w:pPr>
              <w:rPr>
                <w:rFonts w:ascii="Arno Pro" w:hAnsi="Arno Pro"/>
                <w:position w:val="-18"/>
              </w:rPr>
            </w:pPr>
            <w:r>
              <w:rPr>
                <w:rFonts w:ascii="Arno Pro" w:hAnsi="Arno Pro"/>
                <w:b/>
                <w:bCs/>
                <w:position w:val="-20"/>
                <w:sz w:val="24"/>
              </w:rPr>
              <w:t>Article Information</w:t>
            </w:r>
          </w:p>
          <w:p w14:paraId="014E9448" w14:textId="77777777" w:rsidR="00F047C4" w:rsidRDefault="00F047C4" w:rsidP="001B5598">
            <w:pPr>
              <w:rPr>
                <w:rFonts w:asciiTheme="minorHAnsi" w:hAnsiTheme="minorHAnsi"/>
              </w:rPr>
            </w:pPr>
            <w:r>
              <w:t>________________</w:t>
            </w:r>
          </w:p>
          <w:p w14:paraId="3E9B3365" w14:textId="77777777" w:rsidR="00F047C4" w:rsidRDefault="00F047C4" w:rsidP="001B5598">
            <w:pPr>
              <w:rPr>
                <w:rFonts w:ascii="Arno Pro" w:hAnsi="Arno Pro"/>
                <w:i/>
                <w:position w:val="-6"/>
                <w:sz w:val="16"/>
                <w:szCs w:val="16"/>
              </w:rPr>
            </w:pPr>
            <w:r>
              <w:rPr>
                <w:rFonts w:ascii="Arno Pro" w:hAnsi="Arno Pro"/>
                <w:i/>
                <w:iCs/>
                <w:position w:val="-6"/>
                <w:sz w:val="16"/>
                <w:szCs w:val="16"/>
              </w:rPr>
              <w:t>History of article:</w:t>
            </w:r>
          </w:p>
          <w:p w14:paraId="630F8E18" w14:textId="77777777" w:rsidR="00F047C4" w:rsidRDefault="00F047C4" w:rsidP="001B5598">
            <w:pPr>
              <w:rPr>
                <w:rFonts w:ascii="Arno Pro" w:hAnsi="Arno Pro" w:cs="Calisto MT"/>
                <w:i/>
                <w:color w:val="000000"/>
                <w:position w:val="-6"/>
                <w:sz w:val="16"/>
                <w:szCs w:val="16"/>
                <w:lang w:val="en-GB"/>
              </w:rPr>
            </w:pPr>
            <w:r>
              <w:rPr>
                <w:rFonts w:ascii="Arno Pro" w:hAnsi="Arno Pro" w:cs="Calisto MT"/>
                <w:i/>
                <w:color w:val="000000"/>
                <w:position w:val="-6"/>
                <w:sz w:val="16"/>
                <w:szCs w:val="16"/>
                <w:lang w:val="en-GB"/>
              </w:rPr>
              <w:t>Accepted</w:t>
            </w:r>
          </w:p>
          <w:p w14:paraId="66CB234E" w14:textId="77777777" w:rsidR="00F047C4" w:rsidRDefault="00F047C4" w:rsidP="001B5598">
            <w:pPr>
              <w:rPr>
                <w:rFonts w:ascii="Arno Pro" w:hAnsi="Arno Pro" w:cs="Calisto MT"/>
                <w:i/>
                <w:color w:val="000000"/>
                <w:position w:val="-6"/>
                <w:sz w:val="16"/>
                <w:szCs w:val="16"/>
                <w:lang w:val="en-GB"/>
              </w:rPr>
            </w:pPr>
            <w:r>
              <w:rPr>
                <w:rFonts w:ascii="Arno Pro" w:hAnsi="Arno Pro" w:cs="Calisto MT"/>
                <w:i/>
                <w:color w:val="000000"/>
                <w:position w:val="-6"/>
                <w:sz w:val="16"/>
                <w:szCs w:val="16"/>
                <w:lang w:val="en-GB"/>
              </w:rPr>
              <w:t>Approved</w:t>
            </w:r>
          </w:p>
          <w:p w14:paraId="1A165974" w14:textId="77777777" w:rsidR="00F047C4" w:rsidRDefault="00F047C4" w:rsidP="001B5598">
            <w:pPr>
              <w:rPr>
                <w:rFonts w:ascii="Arno Pro" w:hAnsi="Arno Pro" w:cs="Calisto MT"/>
                <w:i/>
                <w:color w:val="000000"/>
                <w:position w:val="-6"/>
                <w:sz w:val="16"/>
                <w:szCs w:val="16"/>
                <w:lang w:val="en-GB"/>
              </w:rPr>
            </w:pPr>
            <w:r>
              <w:rPr>
                <w:rFonts w:ascii="Arno Pro" w:hAnsi="Arno Pro" w:cs="Calisto MT"/>
                <w:i/>
                <w:color w:val="000000"/>
                <w:position w:val="-6"/>
                <w:sz w:val="16"/>
                <w:szCs w:val="16"/>
                <w:lang w:val="en-GB"/>
              </w:rPr>
              <w:t>Published</w:t>
            </w:r>
          </w:p>
          <w:p w14:paraId="6672831E" w14:textId="77777777" w:rsidR="00F047C4" w:rsidRDefault="00F047C4" w:rsidP="001B5598">
            <w:pPr>
              <w:rPr>
                <w:rFonts w:asciiTheme="minorHAnsi" w:hAnsiTheme="minorHAnsi"/>
                <w:lang w:val="en-US"/>
              </w:rPr>
            </w:pPr>
            <w:r>
              <w:t>________________</w:t>
            </w:r>
          </w:p>
          <w:p w14:paraId="521CF6C8" w14:textId="77777777" w:rsidR="00F047C4" w:rsidRDefault="00F047C4" w:rsidP="001B5598">
            <w:pPr>
              <w:spacing w:after="160"/>
              <w:rPr>
                <w:i/>
                <w:sz w:val="16"/>
                <w:szCs w:val="16"/>
                <w:lang w:val="en-US"/>
              </w:rPr>
            </w:pPr>
          </w:p>
        </w:tc>
        <w:tc>
          <w:tcPr>
            <w:tcW w:w="6924" w:type="dxa"/>
            <w:tcBorders>
              <w:top w:val="single" w:sz="4" w:space="0" w:color="auto"/>
              <w:left w:val="nil"/>
              <w:bottom w:val="single" w:sz="4" w:space="0" w:color="auto"/>
              <w:right w:val="nil"/>
            </w:tcBorders>
            <w:hideMark/>
          </w:tcPr>
          <w:p w14:paraId="3C342B2D" w14:textId="77777777" w:rsidR="00F047C4" w:rsidRDefault="00F047C4" w:rsidP="001B5598">
            <w:pPr>
              <w:rPr>
                <w:rFonts w:ascii="Arno Pro" w:hAnsi="Arno Pro"/>
                <w:sz w:val="28"/>
                <w:szCs w:val="24"/>
              </w:rPr>
            </w:pPr>
            <w:r>
              <w:rPr>
                <w:rFonts w:ascii="Arno Pro" w:hAnsi="Arno Pro"/>
                <w:b/>
                <w:bCs/>
                <w:position w:val="-18"/>
                <w:sz w:val="24"/>
              </w:rPr>
              <w:t>Abstract</w:t>
            </w:r>
          </w:p>
          <w:p w14:paraId="386932FE" w14:textId="77777777" w:rsidR="00F047C4" w:rsidRDefault="00F047C4" w:rsidP="00F047C4">
            <w:pPr>
              <w:rPr>
                <w:i/>
                <w:sz w:val="20"/>
              </w:rPr>
            </w:pPr>
            <w:r>
              <w:rPr>
                <w:i/>
                <w:sz w:val="20"/>
              </w:rPr>
              <w:t>__________________________________________________________</w:t>
            </w:r>
          </w:p>
          <w:p w14:paraId="0AA804B7" w14:textId="77777777" w:rsidR="00A47ADD" w:rsidRPr="00A47ADD" w:rsidRDefault="00A47ADD" w:rsidP="00A47ADD">
            <w:pPr>
              <w:jc w:val="both"/>
              <w:rPr>
                <w:sz w:val="24"/>
                <w:szCs w:val="24"/>
              </w:rPr>
            </w:pPr>
            <w:r w:rsidRPr="00A47ADD">
              <w:rPr>
                <w:sz w:val="24"/>
                <w:szCs w:val="24"/>
              </w:rPr>
              <w:t>This study aims to examine the effect of profitability, liquidity, solvency, and intellectual capital on dividend policy. The population in this study are health and pharmaceutical companies in the healthcare sector which are listed on the Indonesia Stock Exchange in 2017-2021. The sampling method used purposive sampling in order to obtain 66 samples from 23 companies that met the criteria. Methods of data analysis using multiple regression analysis. The regression model has met the classical assumption test (normality, multicollinearity, heteroscedasticity, autocorrelation), F and R2 tests and hypothesis testing using the T test. Based on the results of this study, it shows that profitability and intellectual capital have a positive effect on dividend policy, while liquidity and solvency have no effect on dividend policy</w:t>
            </w:r>
          </w:p>
          <w:p w14:paraId="4B9827AF" w14:textId="0F539FCB" w:rsidR="00F047C4" w:rsidRDefault="00F047C4" w:rsidP="00F047C4">
            <w:pPr>
              <w:pStyle w:val="BodyText"/>
              <w:jc w:val="both"/>
              <w:rPr>
                <w:lang w:val="en-US"/>
              </w:rPr>
            </w:pPr>
            <w:r>
              <w:t xml:space="preserve">Keywords : </w:t>
            </w:r>
            <w:r w:rsidR="00A47ADD" w:rsidRPr="00A47ADD">
              <w:t>Profitability, Liquidity, Solvency, and Intellectual Capita</w:t>
            </w:r>
            <w:r w:rsidR="00A47ADD" w:rsidRPr="00A47ADD">
              <w:rPr>
                <w:lang w:val="en-US"/>
              </w:rPr>
              <w:t>l</w:t>
            </w:r>
          </w:p>
          <w:p w14:paraId="1625E466" w14:textId="46B7D2A1" w:rsidR="00A47ADD" w:rsidRDefault="00A47ADD" w:rsidP="00F047C4">
            <w:pPr>
              <w:pStyle w:val="BodyText"/>
              <w:jc w:val="both"/>
              <w:rPr>
                <w:lang w:val="en-US"/>
              </w:rPr>
            </w:pPr>
          </w:p>
          <w:p w14:paraId="2737442F" w14:textId="77777777" w:rsidR="00F047C4" w:rsidRPr="00F047C4" w:rsidRDefault="00F047C4" w:rsidP="00F047C4"/>
        </w:tc>
      </w:tr>
      <w:bookmarkEnd w:id="0"/>
    </w:tbl>
    <w:p w14:paraId="02513F0B" w14:textId="77777777" w:rsidR="00C40A65" w:rsidRPr="00AA4F06" w:rsidRDefault="00C40A65" w:rsidP="00C40A65">
      <w:pPr>
        <w:pStyle w:val="BodyText"/>
        <w:jc w:val="both"/>
        <w:sectPr w:rsidR="00C40A65" w:rsidRPr="00AA4F06" w:rsidSect="001B5598">
          <w:footerReference w:type="default" r:id="rId7"/>
          <w:pgSz w:w="11910" w:h="16840"/>
          <w:pgMar w:top="1440" w:right="1440" w:bottom="1440" w:left="1440" w:header="720" w:footer="720" w:gutter="0"/>
          <w:pgNumType w:start="14"/>
          <w:cols w:space="720"/>
          <w:docGrid w:linePitch="299"/>
        </w:sectPr>
      </w:pPr>
    </w:p>
    <w:p w14:paraId="01EC47CA" w14:textId="77777777" w:rsidR="001B5598" w:rsidRPr="001B5598" w:rsidRDefault="00DA379E" w:rsidP="00197F64">
      <w:pPr>
        <w:pStyle w:val="Heading1"/>
        <w:numPr>
          <w:ilvl w:val="0"/>
          <w:numId w:val="5"/>
        </w:numPr>
        <w:ind w:left="709" w:right="853" w:hanging="709"/>
        <w:jc w:val="left"/>
      </w:pPr>
      <w:r>
        <w:lastRenderedPageBreak/>
        <w:t>BACKGROUND</w:t>
      </w:r>
    </w:p>
    <w:p w14:paraId="1EA05B6C" w14:textId="77777777" w:rsidR="00A47ADD" w:rsidRDefault="00A47ADD" w:rsidP="00A47ADD">
      <w:pPr>
        <w:pStyle w:val="BodyText"/>
        <w:ind w:right="110"/>
        <w:jc w:val="both"/>
      </w:pPr>
      <w:r w:rsidRPr="00A47ADD">
        <w:t xml:space="preserve">In deciding how much dividends and retained earnings in a company, a company policy is needed, which is commonly referred to as a dividend policy </w:t>
      </w:r>
      <w:r w:rsidRPr="00A47ADD">
        <w:fldChar w:fldCharType="begin" w:fldLock="1"/>
      </w:r>
      <w:r w:rsidRPr="00A47ADD">
        <w:instrText>ADDIN CSL_CITATION {"citationItems":[{"id":"ITEM-1","itemData":{"abstract":"Penelitian ini bertujuan untuk membuktikan pengaruh ukuran perusahaan, likuiditas, profitabilitas dan leverage terhadap kebijakan dividen. Penelitian ini menggunakan pendekatan kuantitatif. Populasi dalam penelitian adalah perusahaan manufaktur industri barang konsumsi yang terdaftar di Bursa Efek Indonesia (BEI) pada periode 2016-2018. Sampel yang dikumpulkan menggunakan metode purposive sampling. Total 31 perusahaan manufaktur industri barang konsumsi ditentukan sebagai sampel. Metode analisis data yang digunakan dalam penelitian ini adalah analisis regresi linier berganda dengan menggunakan program SPSS versi 20. Hasil penelitian ini menunjukkan bahwa ukuran perusahaan (X1) dan profitabilitas (X3) berpengaruh positif dan signifikan terhadap kebijakan dividen. Sementara itu, likuiditas (X2) dan leverage (X4) tidak berpengaruh signifikan terhadap kebijakan dividen. Hal ini berarti bahwa semakin tinggi ukuran perusahaan dan profitabilitas, maka semakin tinggi pula kemampuan perusahaan untuk membayar dividen kepada pemegang sahamnya. Sedangkan kenaikan atau penurunan pada likuiditas dan leverage tidak akan berpengaruh signifikan terhadap kemampuan perusahaan dalam membayarkan dividen kepada pemegang saham. Kata","author":[{"dropping-particle":"","family":"Sudiartana","given":"I Gede Pande","non-dropping-particle":"","parse-names":false,"suffix":""},{"dropping-particle":"","family":"Yudantara","given":"I Gede Agus Pratama","non-dropping-particle":"","parse-names":false,"suffix":""}],"container-title":"JIMAT (Jurnal Ilmiah Mahasiswa Akuntansi) Universitas Pendidikan Ganesha","id":"ITEM-1","issue":"2","issued":{"date-parts":[["2020"]]},"page":"761","title":"Pengaruh Ukuran Perusahaan, Likuiditas, Profitabilitas, dan Leverage terhadap Kebijakan Dividen","type":"article-journal","volume":"11"},"uris":["http://www.mendeley.com/documents/?uuid=02bd578e-c9e7-472a-bbf6-2ba0e9bc5085"]}],"mendeley":{"formattedCitation":"(Sudiartana &amp; Yudantara, 2020)","plainTextFormattedCitation":"(Sudiartana &amp; Yudantara, 2020)","previouslyFormattedCitation":"(Sudiartana &amp; Yudantara, 2020)"},"properties":{"noteIndex":0},"schema":"https://github.com/citation-style-language/schema/raw/master/csl-citation.json"}</w:instrText>
      </w:r>
      <w:r w:rsidRPr="00A47ADD">
        <w:fldChar w:fldCharType="separate"/>
      </w:r>
      <w:r w:rsidRPr="00A47ADD">
        <w:t>(Sudiartana &amp; Yudantara, 2020)</w:t>
      </w:r>
      <w:r w:rsidRPr="00A47ADD">
        <w:fldChar w:fldCharType="end"/>
      </w:r>
      <w:r w:rsidRPr="006B3405">
        <w:t>.</w:t>
      </w:r>
      <w:r w:rsidRPr="00A47ADD">
        <w:t xml:space="preserve"> Dividend policy is a policy issued by the company regarding the amount of the company's decision to pay dividends to investors </w:t>
      </w:r>
      <w:r w:rsidRPr="00A47ADD">
        <w:fldChar w:fldCharType="begin" w:fldLock="1"/>
      </w:r>
      <w:r w:rsidRPr="00A47ADD">
        <w:instrText>ADDIN CSL_CITATION {"citationItems":[{"id":"ITEM-1","itemData":{"DOI":"10.24114/plans.v14i1.13322","ISSN":"1978-7057","abstract":"AbstrakPenelitian ini bertujuan untuk menguji dan menganalisis pengaruh rasio solvabilitas, rasio profitabilitas, likuiditas dan laba per saham terhadap kebijakan dividen pada perusahaan consumer goods yang terdaftar pada Bursa Efek Indonesia periode 2013-2017. Metode penelitian yang digunakan yaitu pendekatan kuantitatif, jenis penelitian deskriptif dan bersifat eksploratif. Populasi dalam penelitian ini adalah 45 perusahaan Consumer  Goods. Teknik pengambilan sampel adalah Purposive Sampling, yaitu sebanyak 10 Perusahaan. Teknik analisis data menggunakan model analisis regresi linear berganda, koefisien dertiminasi, Uji-F, dan Uji-t untuk mendapatkan model regresi yang baik. Hasil penelitian hipotesis secara simultan menunjukkan rasio solvabilitas, rasio profitabilitas, likuiditas dan laba per saham berpengaruh positif dan signifikan terhadap kebijakan dividen pada perusahaan consumer goods yang terdaftar pada Bursa Efek Indonesia periode 2013-2017.  Kata kunci :  Total Debt to Equity Ratio, Return on Equity, Current Ratio,  Earning Per Share dan Kebijakan Dividen AbstractThis study aims to examine and analyze the effect of solvency ratios, profitability ratios, liquidity and earnings per share on dividend policy in consumer goods companies listed on the Indonesia Stock Exchange for the period 2013-2017. The research method used is quantitative approach, descriptive research type and explorative. The population in this study were 45 Consumer Goods companies. The sampling technique is purposive sampling, which is as many as 10 companies. Data analysis techniques used multiple linear regression analysis models, determination coefficients, F-Tests, and T-Tests to obtain a good regression model. The results of simultaneous hypothesis research indicate solvency ratios, profitability ratios, liquidity and earnings per share have positive and significant effect on dividend policy in consumer goods companies listed on the Indonesia Stock Exchange for the period 2013-2017.  Keywords :      Total Debt to Equity Ratio, Return on Equity, Current Ratio, Earning Per Shareand Dividend Policy","author":[{"dropping-particle":"","family":"Hwee","given":"Teng Sauh","non-dropping-particle":"","parse-names":false,"suffix":""},{"dropping-particle":"","family":"William","given":"William","non-dropping-particle":"","parse-names":false,"suffix":""},{"dropping-particle":"","family":"Stephani","given":"Stephani","non-dropping-particle":"","parse-names":false,"suffix":""},{"dropping-particle":"","family":"Vera","given":"Vera","non-dropping-particle":"","parse-names":false,"suffix":""},{"dropping-particle":"","family":"Supantri","given":"Devi","non-dropping-particle":"","parse-names":false,"suffix":""},{"dropping-particle":"","family":"Wynne","given":"Wynne","non-dropping-particle":"","parse-names":false,"suffix":""},{"dropping-particle":"","family":"Prasetya","given":"Dandung","non-dropping-particle":"","parse-names":false,"suffix":""}],"container-title":"Jurnal PLANS : Penelitian Ilmu Manajemen dan Bisnis","id":"ITEM-1","issue":"1","issued":{"date-parts":[["2019"]]},"page":"1","title":"Pengaruh Rasio Solvabilitas, Rasio Profitabilitas, Likuiditas Dan Laba Per Saham Terhadap Kebijakan Dividen Pada Perusahaan Consumer Goodsyang Terdaftar Pada Bursa Efek Indonesia (Bei) Periode 2013-2017","type":"article-journal","volume":"14"},"uris":["http://www.mendeley.com/documents/?uuid=9e7613f7-1a38-4cd8-b601-a0190e8cb5a7"]}],"mendeley":{"formattedCitation":"(Hwee et al., 2019)","plainTextFormattedCitation":"(Hwee et al., 2019)","previouslyFormattedCitation":"(Hwee et al., 2019)"},"properties":{"noteIndex":0},"schema":"https://github.com/citation-style-language/schema/raw/master/csl-citation.json"}</w:instrText>
      </w:r>
      <w:r w:rsidRPr="00A47ADD">
        <w:fldChar w:fldCharType="separate"/>
      </w:r>
      <w:r w:rsidRPr="00A47ADD">
        <w:t>(Hwee et al., 2019)</w:t>
      </w:r>
      <w:r w:rsidRPr="00A47ADD">
        <w:fldChar w:fldCharType="end"/>
      </w:r>
      <w:r w:rsidRPr="006B3405">
        <w:t xml:space="preserve">. </w:t>
      </w:r>
      <w:r w:rsidRPr="00A47ADD">
        <w:t>The company's decision to distribute dividends or withhold profits as retained earnings to be reinvested is a decision that must be considered by the company, because investors will see the company's financial performance and will consider it as well as possible so that the invested capital can be as expected. For this reason, investors will usually look at the company's financial statements regarding the development of the company and the prospects for profits that will be obtained in the future if investors invest their capital</w:t>
      </w:r>
      <w:r w:rsidRPr="006B3405">
        <w:t xml:space="preserve"> </w:t>
      </w:r>
      <w:r>
        <w:fldChar w:fldCharType="begin" w:fldLock="1"/>
      </w:r>
      <w:r>
        <w:instrText>ADDIN CSL_CITATION {"citationItems":[{"id":"ITEM-1","itemData":{"abstract":"This research is aimed to trade stock in order to gainadditional capital, meanwhile for the investors by purchasing stocks and invest their capital in a company with the purpose to gain profit in the form of dividend, capital gain, as well as the ownership of the company. The decision to share the profit as dividend or restrain it to bere-invested is a decision which should be considered. The population is all food and beverages companies which are listed Indonesia Stock Indonesia (IDX) in 2012-2015 periods. The sample collection technique has been done by using purposive sampling, so that there are 10 companies which have met the criteria as research samples. The variables which have been appliedin this research aremanagerial ownership, institutional ownership, debt to assets ratio, and dividend payout ratio. The data analysis technique has been conducted by using descriptive statistics analysis, multiple regressions analysis, classic assumption test, model feasibility test, determination coefficient test and hypothesis test. The result of the research shows that managerial ownership give negative influence to the dividend policy, institutional ownership does not give any influence to the dividend policy and debt policy give negative influence to the dividend policy.","author":[{"dropping-particle":"","family":"Ismiati","given":"Putri Indah","non-dropping-particle":"","parse-names":false,"suffix":""},{"dropping-particle":"","family":"Yuniati","given":"Tri","non-dropping-particle":"","parse-names":false,"suffix":""}],"container-title":"Jurnal Ilmu Dan Riset Managemen","id":"ITEM-1","issue":"3","issued":{"date-parts":[["2017"]]},"page":"1-19","title":"Pengaruh Kepemilikan Manajerial, Kepemilikan Institusional dan Kebijakan Hutang terhadap Kebijakan Dividen","type":"article-journal","volume":"6"},"uris":["http://www.mendeley.com/documents/?uuid=e979c733-7ee9-4871-bffc-b41ba15218d8"]}],"mendeley":{"formattedCitation":"(Ismiati &amp; Yuniati, 2017)","plainTextFormattedCitation":"(Ismiati &amp; Yuniati, 2017)","previouslyFormattedCitation":"(Ismiati &amp; Yuniati, 2017)"},"properties":{"noteIndex":0},"schema":"https://github.com/citation-style-language/schema/raw/master/csl-citation.json"}</w:instrText>
      </w:r>
      <w:r>
        <w:fldChar w:fldCharType="separate"/>
      </w:r>
      <w:r w:rsidRPr="00996C52">
        <w:t>(Ismiati &amp; Yuniati, 2017)</w:t>
      </w:r>
      <w:r>
        <w:fldChar w:fldCharType="end"/>
      </w:r>
      <w:r w:rsidRPr="00A47ADD">
        <w:t>.</w:t>
      </w:r>
    </w:p>
    <w:p w14:paraId="11B04BA5" w14:textId="77777777" w:rsidR="00A47ADD" w:rsidRDefault="00A47ADD" w:rsidP="00A47ADD">
      <w:pPr>
        <w:pStyle w:val="BodyText"/>
        <w:ind w:right="110"/>
        <w:jc w:val="both"/>
      </w:pPr>
    </w:p>
    <w:p w14:paraId="51EB140B" w14:textId="426CC974" w:rsidR="00A47ADD" w:rsidRDefault="00A47ADD" w:rsidP="00A47ADD">
      <w:pPr>
        <w:pStyle w:val="BodyText"/>
        <w:ind w:right="110"/>
        <w:jc w:val="both"/>
        <w:rPr>
          <w:lang w:val="en-US"/>
        </w:rPr>
      </w:pPr>
      <w:r w:rsidRPr="00A47ADD">
        <w:t>Health and pharmaceutical companies in the healthcare sector are companies engaged in a commercial business that focus on research, development and providing services and distributing medicines to support health (Saraswati et al, 2020). Healthcare companies also experienced positive growth which was driven by people's increasing purchasing power with average sales increasing every year, however, the company's average profit is still fluctuating</w:t>
      </w:r>
      <w:r>
        <w:rPr>
          <w:lang w:val="en-US"/>
        </w:rPr>
        <w:t xml:space="preserve"> </w:t>
      </w:r>
      <w:r>
        <w:fldChar w:fldCharType="begin" w:fldLock="1"/>
      </w:r>
      <w:r>
        <w:instrText>ADDIN CSL_CITATION {"citationItems":[{"id":"ITEM-1","itemData":{"abstract":"Adapun tujuan penelitian ini adalah untuk mengetahui pengaruh likuiditas, solvabilitas, aktivitas dan ukuran persuahaan terhadap profitabilitas pada perusahaan farmasi di Indonesia. Variabel yang digunakan adalah ROA sebagai variabel dependen dan variabel independen adalah CR, DER, TATO dan Ukuran Perusahaan. Sampel yang digunakan dalam penelitian ini adalah perusahaan yang terdaftar pada sub sektor farmasi di Bursa Efek Indonesia. Sampel diseleksi dengan menggunakan purposive sampling. Dari populasi yang berjumlah 11 perusahaan yang terdaftar pada sektor manufaktur ternyata terdapat 2 perusahaan yang delisting dari BEI. Sehingga sampel yang digunakan dalam penelitian ini adalah 9 perusahaan. Metode analisis yang digunakan adalah regresi linier berganda. Hasil penelitian ini menunjukkan CR, DER, TATO, dan Ukuran Perusahaan tidak berpengaruh signifikan terhadap ROA.","author":[{"dropping-particle":"","family":"Tan","given":"Maryani","non-dropping-particle":"","parse-names":false,"suffix":""},{"dropping-particle":"","family":"Hadi","given":"Syukri","non-dropping-particle":"","parse-names":false,"suffix":""}],"container-title":"Kurs : Jurnal Akuntansi, Kewirausahaan dan Bisnis","id":"ITEM-1","issue":"1","issued":{"date-parts":[["2020"]]},"page":"58-69","title":"Pengaruh Cr, Der, Tato, Dan Ukuran Perusahaan Terhadap Profitabilitas Pada Perusahaan Farmasi Yang Terdaftar Di Bei","type":"article-journal","volume":"5"},"uris":["http://www.mendeley.com/documents/?uuid=d79ab223-406a-4b2f-a835-80ece3c50634"]}],"mendeley":{"formattedCitation":"(Tan &amp; Hadi, 2020)","plainTextFormattedCitation":"(Tan &amp; Hadi, 2020)","previouslyFormattedCitation":"(Tan &amp; Hadi, 2020)"},"properties":{"noteIndex":0},"schema":"https://github.com/citation-style-language/schema/raw/master/csl-citation.json"}</w:instrText>
      </w:r>
      <w:r>
        <w:fldChar w:fldCharType="separate"/>
      </w:r>
      <w:r w:rsidRPr="00996C52">
        <w:rPr>
          <w:noProof/>
        </w:rPr>
        <w:t>(Tan &amp; Hadi, 2020)</w:t>
      </w:r>
      <w:r>
        <w:fldChar w:fldCharType="end"/>
      </w:r>
      <w:r w:rsidRPr="004D32F8">
        <w:t xml:space="preserve">. </w:t>
      </w:r>
      <w:r w:rsidRPr="00A47ADD">
        <w:t>For this reason, these problems must be considered by the company and become the basis of this research because companies that have growing profits can strengthen the relationship that the level of corporate profit can provide opportunities for companies to distribute dividends to investors</w:t>
      </w:r>
      <w:r>
        <w:rPr>
          <w:lang w:val="en-US"/>
        </w:rPr>
        <w:t xml:space="preserve"> </w:t>
      </w:r>
      <w:r>
        <w:fldChar w:fldCharType="begin" w:fldLock="1"/>
      </w:r>
      <w:r>
        <w:instrText>ADDIN CSL_CITATION {"citationItems":[{"id":"ITEM-1","itemData":{"abstract":"Adapun tujuan penelitian ini adalah untuk mengetahui pengaruh likuiditas, solvabilitas, aktivitas dan ukuran persuahaan terhadap profitabilitas pada perusahaan farmasi di Indonesia. Variabel yang digunakan adalah ROA sebagai variabel dependen dan variabel independen adalah CR, DER, TATO dan Ukuran Perusahaan. Sampel yang digunakan dalam penelitian ini adalah perusahaan yang terdaftar pada sub sektor farmasi di Bursa Efek Indonesia. Sampel diseleksi dengan menggunakan purposive sampling. Dari populasi yang berjumlah 11 perusahaan yang terdaftar pada sektor manufaktur ternyata terdapat 2 perusahaan yang delisting dari BEI. Sehingga sampel yang digunakan dalam penelitian ini adalah 9 perusahaan. Metode analisis yang digunakan adalah regresi linier berganda. Hasil penelitian ini menunjukkan CR, DER, TATO, dan Ukuran Perusahaan tidak berpengaruh signifikan terhadap ROA.","author":[{"dropping-particle":"","family":"Tan","given":"Maryani","non-dropping-particle":"","parse-names":false,"suffix":""},{"dropping-particle":"","family":"Hadi","given":"Syukri","non-dropping-particle":"","parse-names":false,"suffix":""}],"container-title":"Kurs : Jurnal Akuntansi, Kewirausahaan dan Bisnis","id":"ITEM-1","issue":"1","issued":{"date-parts":[["2020"]]},"page":"58-69","title":"Pengaruh Cr, Der, Tato, Dan Ukuran Perusahaan Terhadap Profitabilitas Pada Perusahaan Farmasi Yang Terdaftar Di Bei","type":"article-journal","volume":"5"},"uris":["http://www.mendeley.com/documents/?uuid=d79ab223-406a-4b2f-a835-80ece3c50634"]}],"mendeley":{"formattedCitation":"(Tan &amp; Hadi, 2020)","plainTextFormattedCitation":"(Tan &amp; Hadi, 2020)","previouslyFormattedCitation":"(Tan &amp; Hadi, 2020)"},"properties":{"noteIndex":0},"schema":"https://github.com/citation-style-language/schema/raw/master/csl-citation.json"}</w:instrText>
      </w:r>
      <w:r>
        <w:fldChar w:fldCharType="separate"/>
      </w:r>
      <w:r w:rsidRPr="00996C52">
        <w:rPr>
          <w:noProof/>
        </w:rPr>
        <w:t>(Tan &amp; Hadi, 2020)</w:t>
      </w:r>
      <w:r>
        <w:fldChar w:fldCharType="end"/>
      </w:r>
      <w:r>
        <w:rPr>
          <w:lang w:val="en-US"/>
        </w:rPr>
        <w:t xml:space="preserve">. </w:t>
      </w:r>
    </w:p>
    <w:p w14:paraId="627950B6" w14:textId="77777777" w:rsidR="00A47ADD" w:rsidRDefault="00A47ADD" w:rsidP="00A47ADD">
      <w:pPr>
        <w:pStyle w:val="BodyText"/>
        <w:ind w:right="110"/>
        <w:jc w:val="both"/>
        <w:rPr>
          <w:lang w:val="en-US"/>
        </w:rPr>
      </w:pPr>
    </w:p>
    <w:p w14:paraId="69DED852" w14:textId="77777777" w:rsidR="00A47ADD" w:rsidRDefault="00A47ADD" w:rsidP="00A47ADD">
      <w:pPr>
        <w:pStyle w:val="BodyText"/>
        <w:ind w:right="110"/>
        <w:jc w:val="both"/>
        <w:rPr>
          <w:lang w:val="en-US"/>
        </w:rPr>
      </w:pPr>
      <w:r w:rsidRPr="00A47ADD">
        <w:rPr>
          <w:lang w:val="en-US"/>
        </w:rPr>
        <w:t xml:space="preserve">The phenomenon that often occurs is that there are companies that are inconsistent in distributing dividends to investors or shareholders, such as PT </w:t>
      </w:r>
      <w:proofErr w:type="spellStart"/>
      <w:r w:rsidRPr="00A47ADD">
        <w:rPr>
          <w:lang w:val="en-US"/>
        </w:rPr>
        <w:t>Indofarma</w:t>
      </w:r>
      <w:proofErr w:type="spellEnd"/>
      <w:r w:rsidRPr="00A47ADD">
        <w:rPr>
          <w:lang w:val="en-US"/>
        </w:rPr>
        <w:t xml:space="preserve"> </w:t>
      </w:r>
      <w:proofErr w:type="spellStart"/>
      <w:r w:rsidRPr="00A47ADD">
        <w:rPr>
          <w:lang w:val="en-US"/>
        </w:rPr>
        <w:t>Tbk</w:t>
      </w:r>
      <w:proofErr w:type="spellEnd"/>
      <w:r w:rsidRPr="00A47ADD">
        <w:rPr>
          <w:lang w:val="en-US"/>
        </w:rPr>
        <w:t xml:space="preserve"> (INAF) deciding not to distribute profits (dividends) to investors or shareholders in the 2017-2021 period, because the company's finances is deteriorating and suffers losses so it does not distribute its dividends (cnbcindonesia.com). The inconsistency of this distribution can affect investor distrust who think that the inconsistency of dividend distribution will give a negative signal about the condition of the company in the future. For this reason, dividend policy in healthcare companies needs to be studied empirically to find out what factors influence dividend policy. Based on the above phenomenon, this study will examine the factors of profitability, liquidity, solvency, and intellectual capital on dividend policy.</w:t>
      </w:r>
    </w:p>
    <w:p w14:paraId="0163020E" w14:textId="77777777" w:rsidR="00A47ADD" w:rsidRDefault="00A47ADD" w:rsidP="00A47ADD">
      <w:pPr>
        <w:pStyle w:val="BodyText"/>
        <w:ind w:right="110"/>
        <w:jc w:val="both"/>
        <w:rPr>
          <w:lang w:val="en-US"/>
        </w:rPr>
      </w:pPr>
    </w:p>
    <w:p w14:paraId="1E0E33F6" w14:textId="77777777" w:rsidR="004F2751" w:rsidRDefault="00A47ADD" w:rsidP="004F2751">
      <w:pPr>
        <w:pStyle w:val="BodyText"/>
        <w:ind w:right="110"/>
        <w:jc w:val="both"/>
        <w:rPr>
          <w:lang w:val="en-US"/>
        </w:rPr>
      </w:pPr>
      <w:r w:rsidRPr="00A47ADD">
        <w:t xml:space="preserve">The first factor influencing dividend policy is profitability. Profitability is the company's ability to generate profit or profit which has an influence on dividend policy </w:t>
      </w:r>
      <w:r>
        <w:fldChar w:fldCharType="begin" w:fldLock="1"/>
      </w:r>
      <w:r>
        <w:instrText>ADDIN CSL_CITATION {"citationItems":[{"id":"ITEM-1","itemData":{"ISSN":"2797-524X","abstract":"The purpose of research is to know the factors that influencing the dividend policy. The factors cover Managerial Ownership (KM), Institutional Ownership (KI), Profitability (ROI) and Company Size (SZ).The data used is secondary data in the annual financial statements Manufacturing Company. Sampling in this study using purposive sampling method. With this method, acquired 135 companies that serve as the research sample. Data analysis method used is descriptive analysis, Classical Assumption Test, Multiple Linear Regression Analysis and Testing Hypotheses. The results showed that Managerial Ownership,Institutional Ownership, Profitability does not have a significant effect on deviden policy and Company Size has a significant influence on deviden policy.\nKeywords: Managerial Ownership (KM), Institutional Ownership (KI), Profitability (ROI), Company Size (SZ) and Dividend Payout Ratio (DPR).","author":[{"dropping-particle":"","family":"Novianti","given":"Bella","non-dropping-particle":"","parse-names":false,"suffix":""},{"dropping-particle":"","family":"Hendra","given":"Rais","non-dropping-particle":"","parse-names":false,"suffix":""},{"dropping-particle":"","family":"Santoso","given":"F","non-dropping-particle":"","parse-names":false,"suffix":""}],"container-title":"Jurnal Akuntansi","id":"ITEM-1","issue":"1","issued":{"date-parts":[["2018"]]},"page":"71-84","title":"Pengaruh Kepemilikan Manajerial, Kepemilikan Institusional, Profitabilitas Dan Ukuran Perusahaan Terhadap Kebijakan Deviden","type":"article-journal","volume":"18"},"uris":["http://www.mendeley.com/documents/?uuid=7c2142d4-c6df-454c-a29b-80e8c9f961f4"]}],"mendeley":{"formattedCitation":"(Novianti et al., 2018)","manualFormatting":"(Novianti dkk, 2018)","plainTextFormattedCitation":"(Novianti et al., 2018)","previouslyFormattedCitation":"(Novianti et al., 2018)"},"properties":{"noteIndex":0},"schema":"https://github.com/citation-style-language/schema/raw/master/csl-citation.json"}</w:instrText>
      </w:r>
      <w:r>
        <w:fldChar w:fldCharType="separate"/>
      </w:r>
      <w:r w:rsidRPr="004A253F">
        <w:rPr>
          <w:noProof/>
        </w:rPr>
        <w:t xml:space="preserve">(Novianti </w:t>
      </w:r>
      <w:r>
        <w:rPr>
          <w:noProof/>
          <w:lang w:val="en-US"/>
        </w:rPr>
        <w:t>dkk</w:t>
      </w:r>
      <w:r w:rsidRPr="004A253F">
        <w:rPr>
          <w:noProof/>
        </w:rPr>
        <w:t>, 2018)</w:t>
      </w:r>
      <w:r>
        <w:fldChar w:fldCharType="end"/>
      </w:r>
      <w:r>
        <w:rPr>
          <w:lang w:val="en-US"/>
        </w:rPr>
        <w:t xml:space="preserve">. </w:t>
      </w:r>
      <w:r w:rsidRPr="00A47ADD">
        <w:t xml:space="preserve">The level of company profitability can be seen by comparing the company's profit with the company's total assets which aims to see whether the company can utilize its assets properly so that it can generate profits for the company </w:t>
      </w:r>
      <w:r>
        <w:fldChar w:fldCharType="begin" w:fldLock="1"/>
      </w:r>
      <w:r>
        <w:instrText>ADDIN CSL_CITATION {"citationItems":[{"id":"ITEM-1","itemData":{"abstract":"… Teori sinyal menjelaskan bahwa perusahaan memberi sinyal atau informasi terkait kondisi ekonomi perusahaan kepada pengguna … pada penelitian ini diproksikan dengan ROA (return on assets) yang merupakan tingkat pengembalian atas aset-aset perusahaan yang …","author":[{"dropping-particle":"","family":"Novianto","given":"A","non-dropping-particle":"","parse-names":false,"suffix":""}],"container-title":"Jurnal Ilmu Manajemen (JIM)","id":"ITEM-1","issued":{"date-parts":[["2017"]]},"title":"Pengaruh Profitabilitas, Likuiditas, Ukuran Perusahaan, Kepemilikan Manajerial, Dan Kebijakan Hutang Terhadap Kebijakan Dividen Pada Perusahaan Sektor …","type":"article-journal","volume":"5"},"uris":["http://www.mendeley.com/documents/?uuid=4d19a29b-ee35-4e1a-ab78-b07800875a9e"]}],"mendeley":{"formattedCitation":"(Novianto, 2017)","plainTextFormattedCitation":"(Novianto, 2017)","previouslyFormattedCitation":"(Novianto, 2017)"},"properties":{"noteIndex":0},"schema":"https://github.com/citation-style-language/schema/raw/master/csl-citation.json"}</w:instrText>
      </w:r>
      <w:r>
        <w:fldChar w:fldCharType="separate"/>
      </w:r>
      <w:r w:rsidRPr="004A253F">
        <w:rPr>
          <w:noProof/>
        </w:rPr>
        <w:t>(Novianto, 2017)</w:t>
      </w:r>
      <w:r>
        <w:fldChar w:fldCharType="end"/>
      </w:r>
      <w:r>
        <w:rPr>
          <w:lang w:val="en-US"/>
        </w:rPr>
        <w:t xml:space="preserve">. </w:t>
      </w:r>
      <w:r w:rsidRPr="00A47ADD">
        <w:t xml:space="preserve">The high profit generated by the company will affect the level of dividends distributed by the company </w:t>
      </w:r>
      <w:r>
        <w:fldChar w:fldCharType="begin" w:fldLock="1"/>
      </w:r>
      <w:r>
        <w:instrText xml:space="preserve">ADDIN CSL_CITATION {"citationItems":[{"id":"ITEM-1","itemData":{"abstract":"Dividend policy becomes an important financial policy, not only from the company management side, but also from shareholders. Shareholders will apply for dividends if the company makes a profit. The growth of the Jakarta Islamic Index industry which tends to be good and stable earnings will be easier and focused to see profitability, liquidity, leverage, and firm size affect dividend payout ratio and of course dividend payout ratio. Based on the statement can be seen that investors want a stable dividend policy. However, in fact, the average growth of dividend payout ratio during the period 2010-2015 fluctuated and did not indicate the implementation of a stable dividend policy. This study aims to obtain empirical evidence about the influence of profitability, liquidity, leverage, and size of the company against dividend policy. The approach taken in this research is quantitative approach. Sample selection method in this study is purposive sampling is the method of selecting the sample by using some certain criteria so that get 11 samples of companies listed in the Jakarta Islamic Index period of 2011-2015, which amounted to 30 companies. The analysis method used is financial analysis, classical assumption test, multiple regression analysis, coefficient of determination, F test and t test The results of this study indicate that the variables of profitability, liquidity, leverage and firm size affect simultaneously to dividend policy. Partial test shows that the variable profitability, liquidity, and size of the company have a positive and significant impact on dividend policy. Meanwhile, leverage has a negative and insignificant effect on dividend policy. The coefficient of determination showed 59.9%. These results indicate the ability of independent variables in explaining the dependent variable while 40.1% is explained by other variables. The results of this study can provide information or as a signal to the public and outside parties or investors to take investment decisions and assess the financial performance of a company.","author":[{"dropping-particle":"","family":"Parmitasari","given":"Rika Dwi Ayu","non-dropping-particle":"","parse-names":false,"suffix":""},{"dropping-particle":"","family":"Hasrianto","given":"","non-dropping-particle":"","parse-names":false,"suffix":""}],"container-title":"Journal uin-alauddin","id":"ITEM-1","issued":{"date-parts":[["2017"]]},"page":"28-48","title":"Pengaruh Profitabilitas, Likuiditas, Leverage, dan Ukuran Perusahaan Terhadap Kebijakan Dividen Saham-saham yang Terdaftar pada Jakarta Islamic Index (JII) Periode Tahun 2011-2015 Rika Dwi Ayu Parmitasari </w:instrText>
      </w:r>
      <w:r>
        <w:instrText> &amp; Hasrianto","type":"article-journal"},"uris":["http://www.mendeley.com/documents/?uuid=4d845f84-689e-4ccd-ab77-350a8dc85c6a"]}],"mendeley":{"formattedCitation":"(Parmitasari &amp; Hasrianto, 2017)","plainTextFormattedCitation":"(Parmitasari &amp; Hasrianto, 2017)","previouslyFormattedCitation":"(Parmitasari &amp; Hasrianto, 2017)"},"properties":{"noteIndex":0},"schema":"https://github.com/citation-style-language/schema/raw/master/csl-citation.json"}</w:instrText>
      </w:r>
      <w:r>
        <w:fldChar w:fldCharType="separate"/>
      </w:r>
      <w:r w:rsidRPr="004A253F">
        <w:rPr>
          <w:noProof/>
        </w:rPr>
        <w:t>(Parmitasari &amp; Hasrianto, 2017)</w:t>
      </w:r>
      <w:r>
        <w:fldChar w:fldCharType="end"/>
      </w:r>
      <w:r>
        <w:rPr>
          <w:lang w:val="en-US"/>
        </w:rPr>
        <w:t xml:space="preserve">. </w:t>
      </w:r>
      <w:r w:rsidRPr="00A47ADD">
        <w:rPr>
          <w:lang w:val="en-US"/>
        </w:rPr>
        <w:t>This indicates that the company has a good profit rate, it will indicate that the company can distribute dividends, this can be an attraction and target for investors to invest in the company</w:t>
      </w:r>
      <w:r>
        <w:rPr>
          <w:lang w:val="en-US"/>
        </w:rPr>
        <w:t xml:space="preserve"> </w:t>
      </w:r>
      <w:r>
        <w:rPr>
          <w:lang w:val="en-US"/>
        </w:rPr>
        <w:fldChar w:fldCharType="begin" w:fldLock="1"/>
      </w:r>
      <w:r>
        <w:rPr>
          <w:lang w:val="en-US"/>
        </w:rPr>
        <w:instrText>ADDIN CSL_CITATION {"citationItems":[{"id":"ITEM-1","itemData":{"abstract":"Dividend policy is a financial decision made by a company after the company operates and makes a profit. Dividend policy concerns the use of earnings that are the rights of shareholders or the decision whether profits derived by the company will be distributed to shareholders as dividends or retained for investment financing in the future. This study aims to reexamine the effect of variable liquidity, profitability, solvency, company growth and investment opportunity set on dividend policy. The population in this study are manufacturing companies on the Indonesia Stock Exchange in the period 2016-2018. Determination of the sample using purposive sampling method and obtained as many as 47 manufacturing companies with a total of 141 observations. The analysis technique used is multiple linear regression analysis. The results of this study indicate that partially the company growth variable and investment opportunity set have no effect on dividend policy while profitability and liquidity variables have a positive effect on dividend policy but solvency variable has a negative effect on dividend policy.","author":[{"dropping-particle":"","family":"Suambara","given":"Putu Alek","non-dropping-particle":"","parse-names":false,"suffix":""},{"dropping-particle":"","family":"Suryandari","given":"Ni Nyoman Ayu","non-dropping-particle":"","parse-names":false,"suffix":""},{"dropping-particle":"","family":"Putra","given":"Gde Bagus Brahma","non-dropping-particle":"","parse-names":false,"suffix":""}],"container-title":"Seminar Nasional Inovasi dalam Penelitian Sains, Teknologi dan Humaniora-InoBali","id":"ITEM-1","issued":{"date-parts":[["2019"]]},"page":"651-661","title":"Pengaruh Investment Opportunity Set, Kinerja Keuangan Dan Pertumbuhan Terhadap Kebijakan Dividen Pada Perusahaan Manufaktur Yang Terdaftar Di Bursa Efek Indonesia Tahun 2016-2018","type":"article-journal"},"uris":["http://www.mendeley.com/documents/?uuid=4791ed51-398f-4a6a-a14d-987742eadada"]}],"mendeley":{"formattedCitation":"(Suambara et al., 2019)","manualFormatting":"(Suambara dkk, 2019)","plainTextFormattedCitation":"(Suambara et al., 2019)","previouslyFormattedCitation":"(Suambara et al., 2019)"},"properties":{"noteIndex":0},"schema":"https://github.com/citation-style-language/schema/raw/master/csl-citation.json"}</w:instrText>
      </w:r>
      <w:r>
        <w:rPr>
          <w:lang w:val="en-US"/>
        </w:rPr>
        <w:fldChar w:fldCharType="separate"/>
      </w:r>
      <w:r w:rsidRPr="004A253F">
        <w:rPr>
          <w:noProof/>
          <w:lang w:val="en-US"/>
        </w:rPr>
        <w:t xml:space="preserve">(Suambara </w:t>
      </w:r>
      <w:r>
        <w:rPr>
          <w:noProof/>
          <w:lang w:val="en-US"/>
        </w:rPr>
        <w:t>dkk</w:t>
      </w:r>
      <w:r w:rsidRPr="004A253F">
        <w:rPr>
          <w:noProof/>
          <w:lang w:val="en-US"/>
        </w:rPr>
        <w:t>, 2019)</w:t>
      </w:r>
      <w:r>
        <w:rPr>
          <w:lang w:val="en-US"/>
        </w:rPr>
        <w:fldChar w:fldCharType="end"/>
      </w:r>
      <w:r>
        <w:rPr>
          <w:lang w:val="en-US"/>
        </w:rPr>
        <w:t>.</w:t>
      </w:r>
    </w:p>
    <w:p w14:paraId="7D2FBF09" w14:textId="77777777" w:rsidR="004F2751" w:rsidRDefault="004F2751" w:rsidP="004F2751">
      <w:pPr>
        <w:pStyle w:val="BodyText"/>
        <w:ind w:right="110"/>
        <w:jc w:val="both"/>
        <w:rPr>
          <w:lang w:val="en-US"/>
        </w:rPr>
      </w:pPr>
    </w:p>
    <w:p w14:paraId="454FF3B9" w14:textId="77777777" w:rsidR="00EA022A" w:rsidRDefault="004F2751" w:rsidP="00EA022A">
      <w:pPr>
        <w:pStyle w:val="BodyText"/>
        <w:ind w:right="110"/>
        <w:jc w:val="both"/>
        <w:rPr>
          <w:lang w:val="en-US"/>
        </w:rPr>
      </w:pPr>
      <w:r w:rsidRPr="004F2751">
        <w:rPr>
          <w:lang w:val="en-US"/>
        </w:rPr>
        <w:t xml:space="preserve">The second factor that influences dividend policy is liquidity. Liquidity is the company's ability to pay off its short-term debt on time </w:t>
      </w:r>
      <w:r>
        <w:fldChar w:fldCharType="begin" w:fldLock="1"/>
      </w:r>
      <w:r>
        <w:instrText xml:space="preserve">ADDIN CSL_CITATION {"citationItems":[{"id":"ITEM-1","itemData":{"abstract":"Dividend policy becomes an important financial policy, not only from the company management side, but also from shareholders. Shareholders will apply for dividends if the company makes a profit. The growth of the Jakarta Islamic Index industry which tends to be good and stable earnings will be easier and focused to see profitability, liquidity, leverage, and firm size affect dividend payout ratio and of course dividend payout ratio. Based on the statement can be seen that investors want a stable dividend policy. However, in fact, the average growth of dividend payout ratio during the period 2010-2015 fluctuated and did not indicate the implementation of a stable dividend policy. This study aims to obtain empirical evidence about the influence of profitability, liquidity, leverage, and size of the company against dividend policy. The approach taken in this research is quantitative approach. Sample selection method in this study is purposive sampling is the method of selecting the sample by using some certain criteria so that get 11 samples of companies listed in the Jakarta Islamic Index period of 2011-2015, which amounted to 30 companies. The analysis method used is financial analysis, classical assumption test, multiple regression analysis, coefficient of determination, F test and t test The results of this study indicate that the variables of profitability, liquidity, leverage and firm size affect simultaneously to dividend policy. Partial test shows that the variable profitability, liquidity, and size of the company have a positive and significant impact on dividend policy. Meanwhile, leverage has a negative and insignificant effect on dividend policy. The coefficient of determination showed 59.9%. These results indicate the ability of independent variables in explaining the dependent variable while 40.1% is explained by other variables. The results of this study can provide information or as a signal to the public and outside parties or investors to take investment decisions and assess the financial performance of a company.","author":[{"dropping-particle":"","family":"Parmitasari","given":"Rika Dwi Ayu","non-dropping-particle":"","parse-names":false,"suffix":""},{"dropping-particle":"","family":"Hasrianto","given":"","non-dropping-particle":"","parse-names":false,"suffix":""}],"container-title":"Journal uin-alauddin","id":"ITEM-1","issued":{"date-parts":[["2017"]]},"page":"28-48","title":"Pengaruh Profitabilitas, Likuiditas, Leverage, dan Ukuran Perusahaan Terhadap Kebijakan Dividen Saham-saham yang Terdaftar pada Jakarta Islamic Index (JII) Periode Tahun 2011-2015 Rika Dwi Ayu Parmitasari </w:instrText>
      </w:r>
      <w:r>
        <w:instrText> &amp; Hasrianto","type":"article-journal"},"uris":["http://www.mendeley.com/documents/?uuid=4d845f84-689e-4ccd-ab77-350a8dc85c6a"]}],"mendeley":{"formattedCitation":"(Parmitasari &amp; Hasrianto, 2017)","plainTextFormattedCitation":"(Parmitasari &amp; Hasrianto, 2017)","previouslyFormattedCitation":"(Parmitasari &amp; Hasrianto, 2017)"},"properties":{"noteIndex":0},"schema":"https://github.com/citation-style-language/schema/raw/master/csl-citation.json"}</w:instrText>
      </w:r>
      <w:r>
        <w:fldChar w:fldCharType="separate"/>
      </w:r>
      <w:r w:rsidRPr="004A253F">
        <w:rPr>
          <w:noProof/>
        </w:rPr>
        <w:t>(Parmitasari &amp; Hasrianto, 2017)</w:t>
      </w:r>
      <w:r>
        <w:fldChar w:fldCharType="end"/>
      </w:r>
      <w:r>
        <w:rPr>
          <w:lang w:val="en-US"/>
        </w:rPr>
        <w:t xml:space="preserve">. </w:t>
      </w:r>
      <w:r w:rsidRPr="004F2751">
        <w:t>For this reason, company liquidity is an important factor and must be considered by companies because good liquidity will attract investors to invest in the company</w:t>
      </w:r>
      <w:r>
        <w:rPr>
          <w:lang w:val="en-US"/>
        </w:rPr>
        <w:t xml:space="preserve"> </w:t>
      </w:r>
      <w:r>
        <w:rPr>
          <w:lang w:val="en-US"/>
        </w:rPr>
        <w:fldChar w:fldCharType="begin" w:fldLock="1"/>
      </w:r>
      <w:r>
        <w:rPr>
          <w:lang w:val="en-US"/>
        </w:rPr>
        <w:instrText>ADDIN CSL_CITATION {"citationItems":[{"id":"ITEM-1","itemData":{"abstract":"Penelitian ini bertujuan untuk mengetahui dan menganalisis pengaruh Likuiditas, Profitabilitas, dan leverageterhadap kebijakan deviden pada perusahaan LQ45 yang terdaftar di Bursa Efek Indonesia periode 2012-2016 Populasi penelitian ini adalah 45 perusahaan yang masuk kategori LQ 45. Dengan menggunakan metode penarikan sampel purposive sampling jumlah sampel yang diperoleh yaitu sebanyak 16 perusahaan. Metode pengujian data yang digunakan adalah analisis regresi linier berganda. Berdasarkan hasil pengujian data, secara simultan Likuiditas, Profitabilitas dan Leverage berpengaruh signifikan terhadap kebijakan dividen. Secara parsial, hanya Profitabilitas yang berpengaruh signifikan positif terhadap kebijakan deviden, sedangkan Likuiditas dan Leverage tidak berpengaruh secara signifikan terhadap kebijakan deviden pada perusahaan yang masuk kategori LQ 45 periode 2012 - 2016 Keywords:","author":[{"dropping-particle":"","family":"Ginting","given":"Suriani","non-dropping-particle":"","parse-names":false,"suffix":""}],"container-title":"Jwem Stie Mikroskil","id":"ITEM-1","issue":"2","issued":{"date-parts":[["2018"]]},"page":"195-204","title":"Pengaruh Likuiditas, Profitabilitas. Dan Leverage Terhadap Kebijakan Deviden Pada Perusahaan LQ46 Yang Terdaftar Di Bursa Efek Indonesia Periode 2012-2016","type":"article-journal","volume":"8"},"uris":["http://www.mendeley.com/documents/?uuid=97020ce2-55fa-4bab-a426-d1e227ba3cd2"]}],"mendeley":{"formattedCitation":"(Ginting, 2018)","plainTextFormattedCitation":"(Ginting, 2018)","previouslyFormattedCitation":"(Ginting, 2018)"},"properties":{"noteIndex":0},"schema":"https://github.com/citation-style-language/schema/raw/master/csl-citation.json"}</w:instrText>
      </w:r>
      <w:r>
        <w:rPr>
          <w:lang w:val="en-US"/>
        </w:rPr>
        <w:fldChar w:fldCharType="separate"/>
      </w:r>
      <w:r w:rsidRPr="004A253F">
        <w:rPr>
          <w:noProof/>
          <w:lang w:val="en-US"/>
        </w:rPr>
        <w:t>(Ginting, 2018)</w:t>
      </w:r>
      <w:r>
        <w:rPr>
          <w:lang w:val="en-US"/>
        </w:rPr>
        <w:fldChar w:fldCharType="end"/>
      </w:r>
      <w:r>
        <w:rPr>
          <w:lang w:val="en-US"/>
        </w:rPr>
        <w:t xml:space="preserve">. </w:t>
      </w:r>
      <w:r w:rsidRPr="004F2751">
        <w:t>Companies that have the ability to manage company liquidity indicate that the company is capable of paying dividends, because with a low level of liquidity the management will hold the company's cash so it does not go out, and hold it as retained earnings</w:t>
      </w:r>
      <w:r w:rsidRPr="00D01D32">
        <w:t xml:space="preserve"> </w:t>
      </w:r>
      <w:r>
        <w:fldChar w:fldCharType="begin" w:fldLock="1"/>
      </w:r>
      <w:r>
        <w:instrText>ADDIN CSL_CITATION {"citationItems":[{"id":"ITEM-1","itemData":{"DOI":"10.24114/plans.v14i1.13322","ISSN":"1978-7057","abstract":"AbstrakPenelitian ini bertujuan untuk menguji dan menganalisis pengaruh rasio solvabilitas, rasio profitabilitas, likuiditas dan laba per saham terhadap kebijakan dividen pada perusahaan consumer goods yang terdaftar pada Bursa Efek Indonesia periode 2013-2017. Metode penelitian yang digunakan yaitu pendekatan kuantitatif, jenis penelitian deskriptif dan bersifat eksploratif. Populasi dalam penelitian ini adalah 45 perusahaan Consumer  Goods. Teknik pengambilan sampel adalah Purposive Sampling, yaitu sebanyak 10 Perusahaan. Teknik analisis data menggunakan model analisis regresi linear berganda, koefisien dertiminasi, Uji-F, dan Uji-t untuk mendapatkan model regresi yang baik. Hasil penelitian hipotesis secara simultan menunjukkan rasio solvabilitas, rasio profitabilitas, likuiditas dan laba per saham berpengaruh positif dan signifikan terhadap kebijakan dividen pada perusahaan consumer goods yang terdaftar pada Bursa Efek Indonesia periode 2013-2017.  Kata kunci :  Total Debt to Equity Ratio, Return on Equity, Current Ratio,  Earning Per Share dan Kebijakan Dividen AbstractThis study aims to examine and analyze the effect of solvency ratios, profitability ratios, liquidity and earnings per share on dividend policy in consumer goods companies listed on the Indonesia Stock Exchange for the period 2013-2017. The research method used is quantitative approach, descriptive research type and explorative. The population in this study were 45 Consumer Goods companies. The sampling technique is purposive sampling, which is as many as 10 companies. Data analysis techniques used multiple linear regression analysis models, determination coefficients, F-Tests, and T-Tests to obtain a good regression model. The results of simultaneous hypothesis research indicate solvency ratios, profitability ratios, liquidity and earnings per share have positive and significant effect on dividend policy in consumer goods companies listed on the Indonesia Stock Exchange for the period 2013-2017.  Keywords :      Total Debt to Equity Ratio, Return on Equity, Current Ratio, Earning Per Shareand Dividend Policy","author":[{"dropping-particle":"","family":"Hwee","given":"Teng Sauh","non-dropping-particle":"","parse-names":false,"suffix":""},{"dropping-particle":"","family":"William","given":"William","non-dropping-particle":"","parse-names":false,"suffix":""},{"dropping-particle":"","family":"Stephani","given":"Stephani","non-dropping-particle":"","parse-names":false,"suffix":""},{"dropping-particle":"","family":"Vera","given":"Vera","non-dropping-particle":"","parse-names":false,"suffix":""},{"dropping-particle":"","family":"Supantri","given":"Devi","non-dropping-particle":"","parse-names":false,"suffix":""},{"dropping-particle":"","family":"Wynne","given":"Wynne","non-dropping-particle":"","parse-names":false,"suffix":""},{"dropping-particle":"","family":"Prasetya","given":"Dandung","non-dropping-particle":"","parse-names":false,"suffix":""}],"container-title":"Jurnal PLANS : Penelitian Ilmu Manajemen dan Bisnis","id":"ITEM-1","issue":"1","issued":{"date-parts":[["2019"]]},"page":"1","title":"Pengaruh Rasio Solvabilitas, Rasio Profitabilitas, Likuiditas Dan Laba Per Saham Terhadap Kebijakan Dividen Pada Perusahaan Consumer Goodsyang Terdaftar Pada Bursa Efek Indonesia (Bei) Periode 2013-2017","type":"article-journal","volume":"14"},"uris":["http://www.mendeley.com/documents/?uuid=9e7613f7-1a38-4cd8-b601-a0190e8cb5a7"]}],"mendeley":{"formattedCitation":"(Hwee et al., 2019)","manualFormatting":"(Hwee dkk, 2019)","plainTextFormattedCitation":"(Hwee et al., 2019)","previouslyFormattedCitation":"(Hwee et al., 2019)"},"properties":{"noteIndex":0},"schema":"https://github.com/citation-style-language/schema/raw/master/csl-citation.json"}</w:instrText>
      </w:r>
      <w:r>
        <w:fldChar w:fldCharType="separate"/>
      </w:r>
      <w:r w:rsidRPr="004A253F">
        <w:rPr>
          <w:noProof/>
        </w:rPr>
        <w:t xml:space="preserve">(Hwee </w:t>
      </w:r>
      <w:r>
        <w:rPr>
          <w:noProof/>
          <w:lang w:val="en-US"/>
        </w:rPr>
        <w:t>dkk</w:t>
      </w:r>
      <w:r w:rsidRPr="004A253F">
        <w:rPr>
          <w:noProof/>
        </w:rPr>
        <w:t>, 2019)</w:t>
      </w:r>
      <w:r>
        <w:fldChar w:fldCharType="end"/>
      </w:r>
      <w:r w:rsidRPr="00D01D32">
        <w:t>.</w:t>
      </w:r>
      <w:r>
        <w:rPr>
          <w:lang w:val="en-US"/>
        </w:rPr>
        <w:t xml:space="preserve"> </w:t>
      </w:r>
      <w:r w:rsidRPr="004F2751">
        <w:lastRenderedPageBreak/>
        <w:t xml:space="preserve">Therefore, companies that have high liquidity will indicate that the company has the ability to distribute dividends </w:t>
      </w:r>
      <w:r>
        <w:fldChar w:fldCharType="begin" w:fldLock="1"/>
      </w:r>
      <w:r>
        <w:instrText>ADDIN CSL_CITATION {"citationItems":[{"id":"ITEM-1","itemData":{"abstract":"The objective of the study was to provide empirical evidence about the effect of free cash flow, profitability, liquidity and leverage toward dividend policy. The population of this study was manufacture companies listed in Indonesian Stock Exchange in 2004-2007. The sampling technique used purposive sampling and the analysis method used was multiple regressions. The result of this study proved that the profitability of a company affected the dividend policy. The bigger company profit was, the bigger dividend share was. A company which had profit stability could settle on dividend payment rate certainly and signal the quality of their profit. While, free cash flow, liquidity and leverage had no effect toward dividend.","author":[{"dropping-particle":"","family":"Krisardiyansah","given":"","non-dropping-particle":"","parse-names":false,"suffix":""},{"dropping-particle":"","family":"Amanah","given":"Lailatul","non-dropping-particle":"","parse-names":false,"suffix":""}],"container-title":"Jurnal Ilmu dan Riset Akuntansi","id":"ITEM-1","issue":"7","issued":{"date-parts":[["2020"]]},"title":"Pengaruh Free Cash Flow, Profitabilitas, Likuiditas, Dan Leverage Terhadap Kebijakan Dividen","type":"article-journal","volume":"9"},"uris":["http://www.mendeley.com/documents/?uuid=c2bcb7e8-b77a-405b-a592-0c29990e7145"]}],"mendeley":{"formattedCitation":"(Krisardiyansah &amp; Amanah, 2020)","plainTextFormattedCitation":"(Krisardiyansah &amp; Amanah, 2020)","previouslyFormattedCitation":"(Krisardiyansah &amp; Amanah, 2020)"},"properties":{"noteIndex":0},"schema":"https://github.com/citation-style-language/schema/raw/master/csl-citation.json"}</w:instrText>
      </w:r>
      <w:r>
        <w:fldChar w:fldCharType="separate"/>
      </w:r>
      <w:r w:rsidRPr="004A253F">
        <w:rPr>
          <w:noProof/>
        </w:rPr>
        <w:t>(Krisardiyansah &amp; Amanah, 2020)</w:t>
      </w:r>
      <w:r>
        <w:fldChar w:fldCharType="end"/>
      </w:r>
      <w:r>
        <w:rPr>
          <w:lang w:val="en-US"/>
        </w:rPr>
        <w:t>.</w:t>
      </w:r>
    </w:p>
    <w:p w14:paraId="3DA571B7" w14:textId="77777777" w:rsidR="00EA022A" w:rsidRDefault="00EA022A" w:rsidP="00EA022A">
      <w:pPr>
        <w:pStyle w:val="BodyText"/>
        <w:ind w:right="110"/>
        <w:jc w:val="both"/>
        <w:rPr>
          <w:lang w:val="en-US"/>
        </w:rPr>
      </w:pPr>
    </w:p>
    <w:p w14:paraId="11180EA4" w14:textId="77777777" w:rsidR="00EA022A" w:rsidRDefault="00EA022A" w:rsidP="00EA022A">
      <w:pPr>
        <w:pStyle w:val="BodyText"/>
        <w:ind w:right="110"/>
        <w:jc w:val="both"/>
        <w:rPr>
          <w:lang w:val="en-US"/>
        </w:rPr>
      </w:pPr>
      <w:r w:rsidRPr="00EA022A">
        <w:t>The third factor that influences dividend policy is solvency. Solvency is the ability of a company to finance its operations by using debt financing or total debt in the capital structure to finance the company's operations</w:t>
      </w:r>
      <w:r>
        <w:rPr>
          <w:lang w:val="en-US"/>
        </w:rPr>
        <w:t xml:space="preserve"> </w:t>
      </w:r>
      <w:r w:rsidR="00703B66" w:rsidRPr="00D01D32">
        <w:t xml:space="preserve">(Pangestuti, 2020). </w:t>
      </w:r>
      <w:r w:rsidRPr="00EA022A">
        <w:t xml:space="preserve">To maintain the company's capital structure, the company's management can use loans from outside parties with the aim of improving the company's operations </w:t>
      </w:r>
      <w:r w:rsidR="00703B66">
        <w:fldChar w:fldCharType="begin" w:fldLock="1"/>
      </w:r>
      <w:r w:rsidR="00703B66">
        <w:instrText>ADDIN CSL_CITATION {"citationItems":[{"id":"ITEM-1","itemData":{"abstract":"The objective of the study was to provide empirical evidence about the effect of free cash flow, profitability, liquidity and leverage toward dividend policy. The population of this study was manufacture companies listed in Indonesian Stock Exchange in 2004-2007. The sampling technique used purposive sampling and the analysis method used was multiple regressions. The result of this study proved that the profitability of a company affected the dividend policy. The bigger company profit was, the bigger dividend share was. A company which had profit stability could settle on dividend payment rate certainly and signal the quality of their profit. While, free cash flow, liquidity and leverage had no effect toward dividend.","author":[{"dropping-particle":"","family":"Krisardiyansah","given":"","non-dropping-particle":"","parse-names":false,"suffix":""},{"dropping-particle":"","family":"Amanah","given":"Lailatul","non-dropping-particle":"","parse-names":false,"suffix":""}],"container-title":"Jurnal Ilmu dan Riset Akuntansi","id":"ITEM-1","issue":"7","issued":{"date-parts":[["2020"]]},"title":"Pengaruh Free Cash Flow, Profitabilitas, Likuiditas, Dan Leverage Terhadap Kebijakan Dividen","type":"article-journal","volume":"9"},"uris":["http://www.mendeley.com/documents/?uuid=c2bcb7e8-b77a-405b-a592-0c29990e7145"]}],"mendeley":{"formattedCitation":"(Krisardiyansah &amp; Amanah, 2020)","plainTextFormattedCitation":"(Krisardiyansah &amp; Amanah, 2020)","previouslyFormattedCitation":"(Krisardiyansah &amp; Amanah, 2020)"},"properties":{"noteIndex":0},"schema":"https://github.com/citation-style-language/schema/raw/master/csl-citation.json"}</w:instrText>
      </w:r>
      <w:r w:rsidR="00703B66">
        <w:fldChar w:fldCharType="separate"/>
      </w:r>
      <w:r w:rsidR="00703B66" w:rsidRPr="004A253F">
        <w:rPr>
          <w:noProof/>
        </w:rPr>
        <w:t>(Krisardiyansah &amp; Amanah, 2020)</w:t>
      </w:r>
      <w:r w:rsidR="00703B66">
        <w:fldChar w:fldCharType="end"/>
      </w:r>
      <w:r w:rsidR="00703B66" w:rsidRPr="00D01D32">
        <w:t xml:space="preserve">. </w:t>
      </w:r>
      <w:r w:rsidRPr="00EA022A">
        <w:t xml:space="preserve">If the company uses operational sources from a high debt level, it will indicate that the company is at risk from that debt level </w:t>
      </w:r>
      <w:r w:rsidR="00703B66">
        <w:fldChar w:fldCharType="begin" w:fldLock="1"/>
      </w:r>
      <w:r w:rsidR="00703B66">
        <w:instrText>ADDIN CSL_CITATION {"citationItems":[{"id":"ITEM-1","itemData":{"DOI":"10.32639/jimmba.v2i4.604","abstract":"Dividend policy determines the distribution of profits between payments to shareholders or corporate reinvestment. The precentage of profits  paid to shareholders as cash dividends is the DPR (Dividend Pyout Ratio). This study was conducte to examine the effect of the variable investment opportunity, leverage, and liquidity on dividend policy in companies indexed in JII in the period of 2015-2018. The population in this study were 48 companies and the purpossive sampling method obtained 44 observations. The analysis shows that  leverage and liquidity have a negative effect on dividend policy while investment opportunities have no influence on dividend policy. The adjusted R Square value is 0,601. This means that 60,1% of the diividend policy is influenced by investment opportunity, leverage, and liquidity variables; while the remaining 39,9% is influenced by other variables not examined in this study.","author":[{"dropping-particle":"","family":"Putri","given":"Vinna Rahma","non-dropping-particle":"","parse-names":false,"suffix":""},{"dropping-particle":"","family":"Susetyo","given":"Aris","non-dropping-particle":"","parse-names":false,"suffix":""}],"container-title":"Jurnal Ilmiah Mahasiswa Manajemen, Bisnis dan Akuntansi (JIMMBA)","id":"ITEM-1","issue":"4","issued":{"date-parts":[["2020"]]},"page":"563-577","title":"Pengaruh Kesempatan Investasi, Leverage, dan Likuiditas Terhadap Kebijakan Dividen pada Perusahaan yang Terindex di JII Periode 2015-2018","type":"article-journal","volume":"2"},"uris":["http://www.mendeley.com/documents/?uuid=a380524e-71cd-4ac4-acc7-553350387284"]}],"mendeley":{"formattedCitation":"(V. R. Putri &amp; Susetyo, 2020)","plainTextFormattedCitation":"(V. R. Putri &amp; Susetyo, 2020)","previouslyFormattedCitation":"(V. R. Putri &amp; Susetyo, 2020)"},"properties":{"noteIndex":0},"schema":"https://github.com/citation-style-language/schema/raw/master/csl-citation.json"}</w:instrText>
      </w:r>
      <w:r w:rsidR="00703B66">
        <w:fldChar w:fldCharType="separate"/>
      </w:r>
      <w:r w:rsidR="00703B66" w:rsidRPr="002E3396">
        <w:rPr>
          <w:noProof/>
        </w:rPr>
        <w:t>(V. R. Putri &amp; Susetyo, 2020)</w:t>
      </w:r>
      <w:r w:rsidR="00703B66">
        <w:fldChar w:fldCharType="end"/>
      </w:r>
      <w:r w:rsidR="00703B66" w:rsidRPr="00D01D32">
        <w:t>.</w:t>
      </w:r>
      <w:r w:rsidR="00703B66">
        <w:rPr>
          <w:lang w:val="en-US"/>
        </w:rPr>
        <w:t xml:space="preserve"> </w:t>
      </w:r>
      <w:r w:rsidRPr="00EA022A">
        <w:t>This indicates that companies that have a high level of debt will indicate that the company will distribute low dividends, because companies with high levels of debt can become a burden for companies to pay off debt and interest, so that the dividends given are low</w:t>
      </w:r>
      <w:r>
        <w:rPr>
          <w:lang w:val="en-US"/>
        </w:rPr>
        <w:t xml:space="preserve"> </w:t>
      </w:r>
      <w:r w:rsidR="00703B66">
        <w:rPr>
          <w:lang w:val="en-US"/>
        </w:rPr>
        <w:fldChar w:fldCharType="begin" w:fldLock="1"/>
      </w:r>
      <w:r w:rsidR="00703B66">
        <w:rPr>
          <w:lang w:val="en-US"/>
        </w:rPr>
        <w:instrText>ADDIN CSL_CITATION {"citationItems":[{"id":"ITEM-1","itemData":{"ISSN":"2581-2165","abstract":"Purpose-The study was conducted with the aim to determine the effect of profitability, asset growth, and leverage on dividend policy. Design/methodology/approach-The objects in this study are companies included in the calculation of the Jakarta Islamic Index (JII) in a row during the study year, from 2014 to 2018. There were 14 companies selected as research samples, sample selection using purposive sampling method containing certain criteria in accordance with the needs of the research conducted. Data analysis was performed with the help of Microsoft Excel 2010 software and E-views 10. Panel data regression analysis was carried out in this study because it saw data types in the form of cross-sections and time series with a significance level of 5%. Findings-The test results obtained (1) Profitability explained by Return On Equity has a significant effect with a positive direction on dividend policy, (2) Asset Growth explained with Growth ratio does not significantly influence with a negative direction on dividend policy, and (3) Solvability as explained by Debt to Equity Ratio has a significant effect with a negative direction on dividend policy. Implications-The practical implications of the results of this study for managerial policy makers as dividends are expected to maintain and improve the company's financial performance and overall performance every period. This is simply so that the company can still be a profitable company, and be able to provide dividends that are expected by shareholders","author":[{"dropping-particle":"","family":"Pangestuti","given":"Dewi Cahyani","non-dropping-particle":"","parse-names":false,"suffix":""}],"container-title":"Jurnal Riset Manajemen dan Bisnis (JRMB) Fakultas Ekonomi UNIAT","id":"ITEM-1","issue":"1","issued":{"date-parts":[["2020"]]},"page":"119-134","title":"Regresi Data Panel: Profitabilitas, Pertumbuhan Aktiva, Dan Solvabilitas Terhadap Kebijakan Dividen","type":"article-journal","volume":"5"},"uris":["http://www.mendeley.com/documents/?uuid=1fd7471c-af96-43ce-9950-a9de17be565c"]}],"mendeley":{"formattedCitation":"(Pangestuti, 2020)","plainTextFormattedCitation":"(Pangestuti, 2020)","previouslyFormattedCitation":"(Pangestuti, 2020)"},"properties":{"noteIndex":0},"schema":"https://github.com/citation-style-language/schema/raw/master/csl-citation.json"}</w:instrText>
      </w:r>
      <w:r w:rsidR="00703B66">
        <w:rPr>
          <w:lang w:val="en-US"/>
        </w:rPr>
        <w:fldChar w:fldCharType="separate"/>
      </w:r>
      <w:r w:rsidR="00703B66" w:rsidRPr="002E3396">
        <w:rPr>
          <w:noProof/>
          <w:lang w:val="en-US"/>
        </w:rPr>
        <w:t>(Pangestuti, 2020)</w:t>
      </w:r>
      <w:r w:rsidR="00703B66">
        <w:rPr>
          <w:lang w:val="en-US"/>
        </w:rPr>
        <w:fldChar w:fldCharType="end"/>
      </w:r>
      <w:r w:rsidR="00703B66">
        <w:rPr>
          <w:lang w:val="en-US"/>
        </w:rPr>
        <w:t>.</w:t>
      </w:r>
    </w:p>
    <w:p w14:paraId="205F93A1" w14:textId="77777777" w:rsidR="00EA022A" w:rsidRDefault="00EA022A" w:rsidP="00EA022A">
      <w:pPr>
        <w:pStyle w:val="BodyText"/>
        <w:ind w:right="110"/>
        <w:jc w:val="both"/>
        <w:rPr>
          <w:lang w:val="en-US"/>
        </w:rPr>
      </w:pPr>
    </w:p>
    <w:p w14:paraId="2C6622E2" w14:textId="77777777" w:rsidR="00EA022A" w:rsidRDefault="00EA022A" w:rsidP="00EA022A">
      <w:pPr>
        <w:pStyle w:val="BodyText"/>
        <w:ind w:right="110"/>
        <w:jc w:val="both"/>
        <w:rPr>
          <w:lang w:val="en-US"/>
        </w:rPr>
      </w:pPr>
      <w:r w:rsidRPr="00EA022A">
        <w:t xml:space="preserve">The fourth factor that influences dividend policy is intellectual capital. Intellectual capital is a corporate resource that has a core function in value creation and excellence in corporate competition </w:t>
      </w:r>
      <w:r>
        <w:fldChar w:fldCharType="begin" w:fldLock="1"/>
      </w:r>
      <w:r>
        <w:instrText>ADDIN CSL_CITATION {"citationItems":[{"id":"ITEM-1","itemData":{"DOI":"10.6007/IJARAFMS/v6-i4/2296","ISSN":"2308-0337","abstract":"AEC (ASEAN Economic Community) enacted in ASEAN since the end of 2015. AEC is expected to improve the ASEAN to be more dynamic and competitive region. In the other hand, AEC may also make the competition between firms inside ASEAN region become increasingly competitive. This condition requires the firm to utilize its resources more effectively and efficiently so that the firm can create value added and compete on the AEC. Indonesia, as a country with the largest economy in the region, needs to address this issue so that the companies in this country can face AEC challenges. This study aims to examine the positive impact of intellectual capital on firm's financial and market performance of high-tech companies that are listed in Indonesia Stock Exchange. This study conducted with the observation period of 2008-2014. The final sample used in this study consists of 31 companies with the total of 144 observations. This study uses panel data regression model analysis, ie. fixed effect regression and random effect regression. The results showed that intellectual capital has a positive impact on firm's financial performance. This result indicate that the efficient and effective use of intellectual capital will make the firms able to achieve higher financial performance and will be useful for facing AEC. There's no evidence to support the impact of intellectual capital on market performance.","author":[{"dropping-particle":"","family":"Pratama","given":"Bima Cinintya","non-dropping-particle":"","parse-names":false,"suffix":""}],"container-title":"International Journal of Academic Research in Accounting","id":"ITEM-1","issue":"4","issued":{"date-parts":[["2016"]]},"page":"73-81","title":"The Impact of Intellectual Capital of Indonesian's High-Tech Company on Firm's Financial and Market Performance","type":"article-journal","volume":"6"},"uris":["http://www.mendeley.com/documents/?uuid=fb9228b5-22e0-4927-87c7-f81a29535607"]}],"mendeley":{"formattedCitation":"(Pratama, 2016)","plainTextFormattedCitation":"(Pratama, 2016)","previouslyFormattedCitation":"(Pratama, 2016)"},"properties":{"noteIndex":0},"schema":"https://github.com/citation-style-language/schema/raw/master/csl-citation.json"}</w:instrText>
      </w:r>
      <w:r>
        <w:fldChar w:fldCharType="separate"/>
      </w:r>
      <w:r w:rsidRPr="002E3396">
        <w:rPr>
          <w:noProof/>
        </w:rPr>
        <w:t>(Pratama, 2016)</w:t>
      </w:r>
      <w:r>
        <w:fldChar w:fldCharType="end"/>
      </w:r>
      <w:r w:rsidRPr="00586CA8">
        <w:t xml:space="preserve">. </w:t>
      </w:r>
      <w:r w:rsidRPr="00EA022A">
        <w:t>Furthermore, intellectual capital is now being referred to as an important causal factor for the company's success, because intellectual capital will increasingly become a concern in the company's strategy to achieve the company's goals, namely obtaining profits or company profits which the company hopes to distribute profits as dividends</w:t>
      </w:r>
      <w:r>
        <w:rPr>
          <w:lang w:val="en-US"/>
        </w:rPr>
        <w:t xml:space="preserve"> </w:t>
      </w:r>
      <w:r>
        <w:fldChar w:fldCharType="begin" w:fldLock="1"/>
      </w:r>
      <w:r>
        <w:instrText>ADDIN CSL_CITATION {"citationItems":[{"id":"ITEM-1","itemData":{"ISBN":"7211411031","abstract":"This study aims to determine the effect of political competition, human development index and leverage to the availability and accessibility of regional financial information on the official website of the local government. The measurement of the availability of regional financial information used component total of LKPD and APBD 2015, while the measurement accessibility of regional financial information used index of regional financial information accessibility. The population of this study is all of local government in Indonesia that consist of province government, regency government, and district government. The amount of local government are 542. To collect the data, the writer took 51 local government from the population as the sample by using Purposive Sampling. The writer also used documentation technique to collect data. Research data analysis using descriptive analysis statistical and multiple regression analysis with SPSS version 21. The result of this research showed that human development index and leverage gives effect to regional financial information availability on the first research model. Beside it, the political competition has not give effect on regional financial information availability. The second research model result are human development index and leverage gives effect to regional financial information accessibility. Then, the political competition has not give effect on accessibility of regional financial information. Based on this research, the writer have suggesions for the local government to make regional financial information more complete and provide a variety content that has been determined by central government. It will make easier information access for the public. The central government should be more focus to maximized the monitoring activities of the local governments official website. For the next writer to be able to add the period of study to increase the unit of analysis in order to compare the availability and accessibility of regional financial information on periods website","author":[{"dropping-particle":"","family":"Putri","given":"Lingsir India Anteng Tunggil","non-dropping-particle":"","parse-names":false,"suffix":""},{"dropping-particle":"","family":"Pratama","given":"Bima Cinintya","non-dropping-particle":"","parse-names":false,"suffix":""}],"container-title":"RATIO: Reviu Akuntansi Kontemporer Indonesia","id":"ITEM-1","issue":"1","issued":{"date-parts":[["2020"]]},"page":"1-11","title":"Pengaruh Ukuran Perusahaan, Umur Perusahaan, Konsentrasi Kepemilikan, Komisaris Independen, dan leverage terhadap Tingkap Pengungkapan Modal Intelektual","type":"article-journal","volume":"1"},"uris":["http://www.mendeley.com/documents/?uuid=314b6fda-7271-4060-a3f3-def9cf8a5c37"]}],"mendeley":{"formattedCitation":"(L. I. A. T. Putri &amp; Pratama, 2020)","manualFormatting":"( Putri &amp; Pratama, 2020)","plainTextFormattedCitation":"(L. I. A. T. Putri &amp; Pratama, 2020)","previouslyFormattedCitation":"(L. I. A. T. Putri &amp; Pratama, 2020)"},"properties":{"noteIndex":0},"schema":"https://github.com/citation-style-language/schema/raw/master/csl-citation.json"}</w:instrText>
      </w:r>
      <w:r>
        <w:fldChar w:fldCharType="separate"/>
      </w:r>
      <w:r w:rsidRPr="002E3396">
        <w:rPr>
          <w:noProof/>
        </w:rPr>
        <w:t>( Putri &amp; Pratama, 2020)</w:t>
      </w:r>
      <w:r>
        <w:fldChar w:fldCharType="end"/>
      </w:r>
      <w:r>
        <w:rPr>
          <w:lang w:val="en-US"/>
        </w:rPr>
        <w:t>.</w:t>
      </w:r>
      <w:r w:rsidRPr="00586CA8">
        <w:t xml:space="preserve"> </w:t>
      </w:r>
      <w:r w:rsidRPr="00EA022A">
        <w:t>Intellectual capital is part of intangible assets. PSAK No. 19 (revised 2009) states that entities often expend resources or create obligations in acquiring, developing, or enhancing intangible resources, such as science and technology, design and implementation of new systems or processes, licenses, and knowledge of intellectual property rights from the marketplace and trademarks, as well as ideas that arise so as to produce goods or services for the company and increase the company's revenue from these intangible assets</w:t>
      </w:r>
      <w:r>
        <w:rPr>
          <w:lang w:val="en-US"/>
        </w:rPr>
        <w:t xml:space="preserve"> </w:t>
      </w:r>
      <w:r>
        <w:fldChar w:fldCharType="begin" w:fldLock="1"/>
      </w:r>
      <w:r>
        <w:instrText>ADDIN CSL_CITATION {"citationItems":[{"id":"ITEM-1","itemData":{"DOI":"10.22219/jaa.v4i2.17897","ISSN":"2715-1964","abstract":"This study aims to show empirical evidence of the effect of managerial ownership, institutional ownership, foreign ownership and government ownership on intellectual capital performance as the dependent variable. This study relates the influence between these variables by expanding the concept and understanding of Resource-Based Theory, Agency Theory and Stakeholder Theory. The sample in this study is the mining sector companies listed on the Indonesia Stock Exchange in 2016-2019 using purposive sampling technique, namely selecting samples with certain criteria to get more valid results. The data analysis technique used is the classical assumption test, then the results are analyzed using multiple regression analysis to prove the influence between variables by utilizing an accurate SPSS application. The results of this study indicate that institutional ownership and foreign ownership have a positive effect on intellectual capital performance in mining companies, while managerial ownership and government ownership do not show any effect on intellectual capital performance in mining companies in Indonesia. This research contributes to the theory and practice of companies in the conduct of business. However, this study has not been able to prove the influence of managerial and government ownership on intellectual capital performance, so that further research can consider other corporate sectors whose managerial and government ownership is quite dominant.","author":[{"dropping-particle":"","family":"Meilani","given":"Astian Yosi","non-dropping-particle":"","parse-names":false,"suffix":""},{"dropping-particle":"","family":"Azizah","given":"Siti Nur","non-dropping-particle":"","parse-names":false,"suffix":""},{"dropping-particle":"","family":"Pramono","given":"Hadi","non-dropping-particle":"","parse-names":false,"suffix":""},{"dropping-particle":"","family":"Pratama","given":"Bima Cinintya","non-dropping-particle":"","parse-names":false,"suffix":""}],"container-title":"Jurnal Akademi Akuntansi","id":"ITEM-1","issue":"2","issued":{"date-parts":[["2021"]]},"page":"229-245","title":"The Effect Of Ownership Structure On The Performance Of Intellectual Capital","type":"article-journal","volume":"4"},"uris":["http://www.mendeley.com/documents/?uuid=4f5efaf6-d2b3-4fda-a789-9c3c52e99004"]}],"mendeley":{"formattedCitation":"(Meilani et al., 2021)","manualFormatting":"(Meilani dkk, 2021)","plainTextFormattedCitation":"(Meilani et al., 2021)","previouslyFormattedCitation":"(Meilani et al., 2021)"},"properties":{"noteIndex":0},"schema":"https://github.com/citation-style-language/schema/raw/master/csl-citation.json"}</w:instrText>
      </w:r>
      <w:r>
        <w:fldChar w:fldCharType="separate"/>
      </w:r>
      <w:r w:rsidRPr="002E3396">
        <w:rPr>
          <w:noProof/>
        </w:rPr>
        <w:t xml:space="preserve">(Meilani </w:t>
      </w:r>
      <w:r>
        <w:rPr>
          <w:noProof/>
          <w:lang w:val="en-US"/>
        </w:rPr>
        <w:t>dkk</w:t>
      </w:r>
      <w:r w:rsidRPr="002E3396">
        <w:rPr>
          <w:noProof/>
        </w:rPr>
        <w:t>, 2021)</w:t>
      </w:r>
      <w:r>
        <w:fldChar w:fldCharType="end"/>
      </w:r>
      <w:r>
        <w:rPr>
          <w:lang w:val="en-US"/>
        </w:rPr>
        <w:t>.</w:t>
      </w:r>
    </w:p>
    <w:p w14:paraId="09061A1A" w14:textId="77777777" w:rsidR="00EA022A" w:rsidRDefault="00EA022A" w:rsidP="00EA022A">
      <w:pPr>
        <w:pStyle w:val="BodyText"/>
        <w:ind w:right="110"/>
        <w:jc w:val="both"/>
        <w:rPr>
          <w:lang w:val="en-US"/>
        </w:rPr>
      </w:pPr>
    </w:p>
    <w:p w14:paraId="1A24C9BA" w14:textId="655500A1" w:rsidR="00A47ADD" w:rsidRPr="00EA022A" w:rsidRDefault="00EA022A" w:rsidP="00EA022A">
      <w:pPr>
        <w:pStyle w:val="BodyText"/>
        <w:ind w:right="110"/>
        <w:jc w:val="both"/>
        <w:rPr>
          <w:lang w:val="en-US"/>
        </w:rPr>
      </w:pPr>
      <w:r w:rsidRPr="00EA022A">
        <w:rPr>
          <w:lang w:val="en-US"/>
        </w:rPr>
        <w:t>This study focuses on health and pharmaceutical companies in the healthcare sector that are listed on the Indonesia Stock Exchange (IDX) in 2017-2021. This study contributes to the literature by examining the effect of profitability, liquidity, solvency, and intellectual capital on dividend policy.</w:t>
      </w:r>
      <w:r>
        <w:rPr>
          <w:lang w:val="en-US"/>
        </w:rPr>
        <w:t xml:space="preserve"> </w:t>
      </w:r>
    </w:p>
    <w:p w14:paraId="24553381" w14:textId="77777777" w:rsidR="00A47ADD" w:rsidRDefault="00A47ADD" w:rsidP="00C40A65">
      <w:pPr>
        <w:pStyle w:val="BodyText"/>
        <w:ind w:firstLine="720"/>
        <w:jc w:val="both"/>
      </w:pPr>
    </w:p>
    <w:p w14:paraId="20AA7948" w14:textId="77777777" w:rsidR="00C40A65" w:rsidRPr="00AF441C" w:rsidRDefault="00C40A65" w:rsidP="00C40A65">
      <w:pPr>
        <w:pStyle w:val="BodyText"/>
        <w:ind w:left="180" w:firstLine="720"/>
        <w:jc w:val="both"/>
      </w:pPr>
    </w:p>
    <w:p w14:paraId="46FB812C" w14:textId="77777777" w:rsidR="00C40A65" w:rsidRDefault="00C40A65" w:rsidP="00E45AAD">
      <w:pPr>
        <w:pStyle w:val="Heading1"/>
        <w:numPr>
          <w:ilvl w:val="0"/>
          <w:numId w:val="5"/>
        </w:numPr>
        <w:ind w:left="709" w:right="853"/>
        <w:jc w:val="left"/>
      </w:pPr>
      <w:r w:rsidRPr="0021158F">
        <w:rPr>
          <w:lang w:val="en-US"/>
        </w:rPr>
        <w:t>LITERATURE</w:t>
      </w:r>
      <w:r w:rsidRPr="0021158F">
        <w:t xml:space="preserve"> REVIEW</w:t>
      </w:r>
    </w:p>
    <w:p w14:paraId="39974070" w14:textId="5152E98B" w:rsidR="00C40A65" w:rsidRDefault="00EA022A" w:rsidP="00E45AAD">
      <w:pPr>
        <w:pStyle w:val="Heading1"/>
        <w:ind w:left="0" w:right="853" w:firstLine="709"/>
        <w:jc w:val="left"/>
      </w:pPr>
      <w:proofErr w:type="spellStart"/>
      <w:r>
        <w:rPr>
          <w:lang w:val="en-US"/>
        </w:rPr>
        <w:t>Signalling</w:t>
      </w:r>
      <w:proofErr w:type="spellEnd"/>
      <w:r>
        <w:rPr>
          <w:lang w:val="en-US"/>
        </w:rPr>
        <w:t xml:space="preserve"> </w:t>
      </w:r>
      <w:proofErr w:type="spellStart"/>
      <w:r w:rsidR="00C40A65" w:rsidRPr="0021158F">
        <w:t>Theory</w:t>
      </w:r>
      <w:proofErr w:type="spellEnd"/>
    </w:p>
    <w:p w14:paraId="7A8FDF27" w14:textId="77777777" w:rsidR="001B5598" w:rsidRPr="001B5598" w:rsidRDefault="001B5598" w:rsidP="00C40A65">
      <w:pPr>
        <w:pStyle w:val="Heading1"/>
        <w:ind w:left="0" w:right="853"/>
        <w:jc w:val="left"/>
        <w:rPr>
          <w:b w:val="0"/>
          <w:bCs w:val="0"/>
        </w:rPr>
      </w:pPr>
    </w:p>
    <w:p w14:paraId="18D3E710" w14:textId="614BC197" w:rsidR="001B5598" w:rsidRDefault="00EA022A" w:rsidP="00C40A65">
      <w:pPr>
        <w:pStyle w:val="BodyText"/>
        <w:ind w:firstLine="720"/>
        <w:jc w:val="both"/>
        <w:rPr>
          <w:bCs/>
          <w:iCs/>
          <w:lang w:val="en-ID"/>
        </w:rPr>
      </w:pPr>
      <w:r w:rsidRPr="00EA022A">
        <w:rPr>
          <w:bCs/>
          <w:iCs/>
          <w:lang w:val="en-ID"/>
        </w:rPr>
        <w:t xml:space="preserve">Signal theory was first coined by Spence in 1973. Signal theory is a theory used to find out the </w:t>
      </w:r>
      <w:proofErr w:type="spellStart"/>
      <w:r w:rsidRPr="00EA022A">
        <w:rPr>
          <w:bCs/>
          <w:iCs/>
          <w:lang w:val="en-ID"/>
        </w:rPr>
        <w:t>behavior</w:t>
      </w:r>
      <w:proofErr w:type="spellEnd"/>
      <w:r w:rsidRPr="00EA022A">
        <w:rPr>
          <w:bCs/>
          <w:iCs/>
          <w:lang w:val="en-ID"/>
        </w:rPr>
        <w:t xml:space="preserve"> of managers in providing information to investors, because it will result in an investor's decision in assessing the state of a company</w:t>
      </w:r>
      <w:r>
        <w:rPr>
          <w:bCs/>
          <w:iCs/>
          <w:lang w:val="en-ID"/>
        </w:rPr>
        <w:t xml:space="preserve"> </w:t>
      </w:r>
      <w:r>
        <w:rPr>
          <w:bCs/>
          <w:iCs/>
          <w:lang w:val="en-ID"/>
        </w:rPr>
        <w:fldChar w:fldCharType="begin" w:fldLock="1"/>
      </w:r>
      <w:r>
        <w:rPr>
          <w:bCs/>
          <w:iCs/>
          <w:lang w:val="en-ID"/>
        </w:rPr>
        <w:instrText>ADDIN CSL_CITATION {"citationItems":[{"id":"ITEM-1","itemData":{"ISBN":"978-602-52194-3-6","author":[{"dropping-particle":"","family":"Suganda","given":"T Renald","non-dropping-particle":"","parse-names":false,"suffix":""}],"edition":"1","id":"ITEM-1","issued":{"date-parts":[["2018"]]},"number-of-pages":"15-16","publisher":"CV. Seribu Bintang","publisher-place":"Malang","title":"Event Study Teori dan Pembahasan Reaksi Pasar Modal Indonesia","type":"book"},"uris":["http://www.mendeley.com/documents/?uuid=cb55e738-77b7-4cf0-a3f8-ddd24fce4249"]}],"mendeley":{"formattedCitation":"(Suganda, 2018)","plainTextFormattedCitation":"(Suganda, 2018)","previouslyFormattedCitation":"(Suganda, 2018)"},"properties":{"noteIndex":0},"schema":"https://github.com/citation-style-language/schema/raw/master/csl-citation.json"}</w:instrText>
      </w:r>
      <w:r>
        <w:rPr>
          <w:bCs/>
          <w:iCs/>
          <w:lang w:val="en-ID"/>
        </w:rPr>
        <w:fldChar w:fldCharType="separate"/>
      </w:r>
      <w:r w:rsidRPr="002E3396">
        <w:rPr>
          <w:bCs/>
          <w:iCs/>
          <w:noProof/>
          <w:lang w:val="en-ID"/>
        </w:rPr>
        <w:t>(Suganda, 2018)</w:t>
      </w:r>
      <w:r>
        <w:rPr>
          <w:bCs/>
          <w:iCs/>
          <w:lang w:val="en-ID"/>
        </w:rPr>
        <w:fldChar w:fldCharType="end"/>
      </w:r>
      <w:r w:rsidRPr="005314EA">
        <w:rPr>
          <w:bCs/>
          <w:iCs/>
          <w:lang w:val="en-ID"/>
        </w:rPr>
        <w:t xml:space="preserve">. </w:t>
      </w:r>
      <w:r w:rsidRPr="00EA022A">
        <w:rPr>
          <w:bCs/>
          <w:iCs/>
          <w:lang w:val="en-ID"/>
        </w:rPr>
        <w:t xml:space="preserve">Signal theory is a theory that explains the relationship between two parties, where one party is a manager who acts as a party providing information in the form of company financial reports to external parties such as investors. This investor can be said to be a second party that has a role as a signal receiver </w:t>
      </w:r>
      <w:r>
        <w:rPr>
          <w:bCs/>
          <w:iCs/>
          <w:lang w:val="en-ID"/>
        </w:rPr>
        <w:fldChar w:fldCharType="begin" w:fldLock="1"/>
      </w:r>
      <w:r>
        <w:rPr>
          <w:bCs/>
          <w:iCs/>
          <w:lang w:val="en-ID"/>
        </w:rPr>
        <w:instrText>ADDIN CSL_CITATION {"citationItems":[{"id":"ITEM-1","itemData":{"author":[{"dropping-particle":"","family":"Septika","given":"Eri","non-dropping-particle":"","parse-names":false,"suffix":""},{"dropping-particle":"","family":"Mudjiyanti","given":"Rina","non-dropping-particle":"","parse-names":false,"suffix":""},{"dropping-particle":"","family":"Hariyanto","given":"Eko","non-dropping-particle":"","parse-names":false,"suffix":""},{"dropping-particle":"","family":"Wibowo","given":"Hardiyanto","non-dropping-particle":"","parse-names":false,"suffix":""}],"container-title":"Review of Applied Accounting Research","id":"ITEM-1","issue":"2","issued":{"date-parts":[["2021"]]},"page":"1-10","title":"PENGARUH PROFITABILITAS, KEBIJAKAN HUTANG, LIKUIDITAS, DAN KEPEMILIKAN INSTITUSIONAL TERHADAP KEBIJAKAN DIVIDEN Eri Septika 1 , Rina Mudjiyanti 2* , Eko Hariyanto 3 , Hardiyanto Wibowo 4","type":"article-journal","volume":"1"},"uris":["http://www.mendeley.com/documents/?uuid=223845ee-6eed-4d22-9fb6-d6d2a5a4e171"]}],"mendeley":{"formattedCitation":"(Septika et al., 2021)","manualFormatting":"(Septika dkk, 2021)","plainTextFormattedCitation":"(Septika et al., 2021)","previouslyFormattedCitation":"(Septika et al., 2021)"},"properties":{"noteIndex":0},"schema":"https://github.com/citation-style-language/schema/raw/master/csl-citation.json"}</w:instrText>
      </w:r>
      <w:r>
        <w:rPr>
          <w:bCs/>
          <w:iCs/>
          <w:lang w:val="en-ID"/>
        </w:rPr>
        <w:fldChar w:fldCharType="separate"/>
      </w:r>
      <w:r w:rsidRPr="002E3396">
        <w:rPr>
          <w:bCs/>
          <w:iCs/>
          <w:noProof/>
          <w:lang w:val="en-ID"/>
        </w:rPr>
        <w:t xml:space="preserve">(Septika </w:t>
      </w:r>
      <w:r>
        <w:rPr>
          <w:bCs/>
          <w:iCs/>
          <w:noProof/>
          <w:lang w:val="en-ID"/>
        </w:rPr>
        <w:t>dkk</w:t>
      </w:r>
      <w:r w:rsidRPr="002E3396">
        <w:rPr>
          <w:bCs/>
          <w:iCs/>
          <w:noProof/>
          <w:lang w:val="en-ID"/>
        </w:rPr>
        <w:t>, 2021)</w:t>
      </w:r>
      <w:r>
        <w:rPr>
          <w:bCs/>
          <w:iCs/>
          <w:lang w:val="en-ID"/>
        </w:rPr>
        <w:fldChar w:fldCharType="end"/>
      </w:r>
      <w:r>
        <w:rPr>
          <w:bCs/>
          <w:iCs/>
          <w:lang w:val="en-ID"/>
        </w:rPr>
        <w:t>.</w:t>
      </w:r>
      <w:r w:rsidRPr="005314EA">
        <w:rPr>
          <w:bCs/>
          <w:iCs/>
          <w:lang w:val="en-ID"/>
        </w:rPr>
        <w:t xml:space="preserve"> </w:t>
      </w:r>
      <w:r w:rsidRPr="00EA022A">
        <w:rPr>
          <w:bCs/>
          <w:iCs/>
          <w:lang w:val="en-ID"/>
        </w:rPr>
        <w:t>In addition, the signal here can also be in other forms, such as promotions or other information that is able to describe the prospects of a company that are superior and able to provide benefits compared to other companies</w:t>
      </w:r>
      <w:r>
        <w:rPr>
          <w:bCs/>
          <w:iCs/>
          <w:lang w:val="en-ID"/>
        </w:rPr>
        <w:t xml:space="preserve"> </w:t>
      </w:r>
      <w:r>
        <w:rPr>
          <w:bCs/>
          <w:iCs/>
          <w:lang w:val="en-ID"/>
        </w:rPr>
        <w:fldChar w:fldCharType="begin" w:fldLock="1"/>
      </w:r>
      <w:r>
        <w:rPr>
          <w:bCs/>
          <w:iCs/>
          <w:lang w:val="en-ID"/>
        </w:rPr>
        <w:instrText>ADDIN CSL_CITATION {"citationItems":[{"id":"ITEM-1","itemData":{"abstract":"Penelitian ini bertujuan untuk menguji pengaruh kebijakan hutang, profitabilitas, kepemilikan manajerial terhadap kebijakan dividen. Penelitian dilakukan terhadap perusahaan manufaktur pada periode 2015-2018. Sampel yang digunakan dalam …","author":[{"dropping-particle":"","family":"Pamungkas","given":"S D","non-dropping-particle":"","parse-names":false,"suffix":""},{"dropping-particle":"","family":"Rahayu","given":"Y","non-dropping-particle":"","parse-names":false,"suffix":""}],"container-title":"Jurnal Ilmu dan Riset Akuntansi","id":"ITEM-1","issue":"11","issued":{"date-parts":[["2019"]]},"page":"1-16","title":"Pengaruh Kebijakan Hutang, Profitabilitas, Kepemilikan Manajerial Terhadap Kebijakan Dividen Pada Perusahaan Manufaktur","type":"article-journal","volume":"8"},"uris":["http://www.mendeley.com/documents/?uuid=ab6bd2c3-55ba-4cd6-be75-b2e27f060e3f"]}],"mendeley":{"formattedCitation":"(Pamungkas &amp; Rahayu, 2019)","plainTextFormattedCitation":"(Pamungkas &amp; Rahayu, 2019)","previouslyFormattedCitation":"(Pamungkas &amp; Rahayu, 2019)"},"properties":{"noteIndex":0},"schema":"https://github.com/citation-style-language/schema/raw/master/csl-citation.json"}</w:instrText>
      </w:r>
      <w:r>
        <w:rPr>
          <w:bCs/>
          <w:iCs/>
          <w:lang w:val="en-ID"/>
        </w:rPr>
        <w:fldChar w:fldCharType="separate"/>
      </w:r>
      <w:r w:rsidRPr="002E3396">
        <w:rPr>
          <w:bCs/>
          <w:iCs/>
          <w:noProof/>
          <w:lang w:val="en-ID"/>
        </w:rPr>
        <w:t>(Pamungkas &amp; Rahayu, 2019)</w:t>
      </w:r>
      <w:r>
        <w:rPr>
          <w:bCs/>
          <w:iCs/>
          <w:lang w:val="en-ID"/>
        </w:rPr>
        <w:fldChar w:fldCharType="end"/>
      </w:r>
      <w:r>
        <w:rPr>
          <w:bCs/>
          <w:iCs/>
          <w:lang w:val="en-ID"/>
        </w:rPr>
        <w:t xml:space="preserve">. </w:t>
      </w:r>
    </w:p>
    <w:p w14:paraId="324EBB83" w14:textId="117C5B85" w:rsidR="00815180" w:rsidRDefault="00815180" w:rsidP="00C40A65">
      <w:pPr>
        <w:pStyle w:val="BodyText"/>
        <w:ind w:firstLine="720"/>
        <w:jc w:val="both"/>
        <w:rPr>
          <w:bCs/>
          <w:iCs/>
          <w:lang w:val="en-ID"/>
        </w:rPr>
      </w:pPr>
    </w:p>
    <w:p w14:paraId="406D0300" w14:textId="77777777" w:rsidR="00815180" w:rsidRPr="00815180" w:rsidRDefault="00815180" w:rsidP="00815180">
      <w:pPr>
        <w:pStyle w:val="Heading1"/>
        <w:ind w:left="0" w:right="853" w:firstLine="709"/>
        <w:jc w:val="left"/>
        <w:rPr>
          <w:b w:val="0"/>
          <w:bCs w:val="0"/>
          <w:lang w:val="en-US"/>
        </w:rPr>
      </w:pPr>
      <w:r w:rsidRPr="00815180">
        <w:rPr>
          <w:lang w:val="en-US"/>
        </w:rPr>
        <w:t>Resource-Based Theory (RBT)</w:t>
      </w:r>
    </w:p>
    <w:p w14:paraId="3118E78D" w14:textId="7A025F60" w:rsidR="00815180" w:rsidRDefault="00815180" w:rsidP="00815180">
      <w:pPr>
        <w:pStyle w:val="BodyText"/>
        <w:spacing w:before="1"/>
        <w:ind w:firstLine="720"/>
        <w:jc w:val="both"/>
        <w:rPr>
          <w:lang w:val="en-US"/>
        </w:rPr>
      </w:pPr>
      <w:r w:rsidRPr="00815180">
        <w:rPr>
          <w:lang w:val="en-US"/>
        </w:rPr>
        <w:t xml:space="preserve">This theory is a theory that explains the resources in the company and how the </w:t>
      </w:r>
      <w:r w:rsidRPr="00815180">
        <w:rPr>
          <w:lang w:val="en-US"/>
        </w:rPr>
        <w:lastRenderedPageBreak/>
        <w:t>company manages and uses its resources properly and correctly (</w:t>
      </w:r>
      <w:proofErr w:type="spellStart"/>
      <w:r w:rsidRPr="00815180">
        <w:rPr>
          <w:lang w:val="en-US"/>
        </w:rPr>
        <w:t>Bontis</w:t>
      </w:r>
      <w:proofErr w:type="spellEnd"/>
      <w:r w:rsidRPr="00815180">
        <w:rPr>
          <w:lang w:val="en-US"/>
        </w:rPr>
        <w:t xml:space="preserve"> et al, 2000). RBT explains that the creation of a sustainable competitive advantage is closely related to a company's ability to utilize superior resources effectively </w:t>
      </w:r>
      <w:r>
        <w:fldChar w:fldCharType="begin" w:fldLock="1"/>
      </w:r>
      <w:r>
        <w:instrText>ADDIN CSL_CITATION {"citationItems":[{"id":"ITEM-1","itemData":{"abstract":"Understanding sources of sustained competitive advantage has become a major area of research in strategic management. Building on the assumptions that strategic resources are heterogeneously distributed acrossfirms and that these differences are stable over time, this article examines the link betweenfirm resources and sustained competitive advantage. Four empirical indicators of the potential of firm resources to generate sustained competitive advantage-value, rareness, imitability, and substitutability-are discussed. The model is applied by analyzing the potential of severalfirm resourcesfor generating sustained competitive advantages. The article concludes by examining implications of this firm resource model of sustained competitive advantage for other business disciplines.","author":[{"dropping-particle":"","family":"Barney","given":"Jay","non-dropping-particle":"","parse-names":false,"suffix":""}],"container-title":"Journal of Management","id":"ITEM-1","issue":"1","issued":{"date-parts":[["1991"]]},"page":"99-120","title":"Firm Resources and Sustained Competitive Advantage","type":"article-journal","volume":"17"},"uris":["http://www.mendeley.com/documents/?uuid=b6dd3662-7f2d-43ea-abc0-0807f5b94daf"]}],"mendeley":{"formattedCitation":"(J. Barney, 1991)","plainTextFormattedCitation":"(J. Barney, 1991)","previouslyFormattedCitation":"(J. Barney, 1991)"},"properties":{"noteIndex":0},"schema":"https://github.com/citation-style-language/schema/raw/master/csl-citation.json"}</w:instrText>
      </w:r>
      <w:r>
        <w:fldChar w:fldCharType="separate"/>
      </w:r>
      <w:r w:rsidRPr="002E3396">
        <w:rPr>
          <w:noProof/>
        </w:rPr>
        <w:t>(J. Barney, 1991)</w:t>
      </w:r>
      <w:r>
        <w:fldChar w:fldCharType="end"/>
      </w:r>
      <w:r>
        <w:rPr>
          <w:lang w:val="en-US"/>
        </w:rPr>
        <w:t>.</w:t>
      </w:r>
      <w:r w:rsidRPr="000F29D8">
        <w:t xml:space="preserve"> </w:t>
      </w:r>
      <w:r w:rsidRPr="00815180">
        <w:t xml:space="preserve">RBT is used as the main framework that serves as a reference in estimating and seeing the competitive advantage a company has </w:t>
      </w:r>
      <w:r>
        <w:fldChar w:fldCharType="begin" w:fldLock="1"/>
      </w:r>
      <w:r>
        <w:instrText>ADDIN CSL_CITATION {"citationItems":[{"id":"ITEM-1","itemData":{"DOI":"10.1177/0149206310391805","ISSN":"01492063","abstract":"Since the 1991 publication of the first Journal of Management special issue devoted to resource-based inquiry, resource-based theory (RBT) has evolved from a nascent, upstart perspective to one of the most prominent and powerful theories for understanding organizations. Indeed, 20 years after that landmark issue, RBT appears to have reached maturity as a theory. One implication of this maturity is that RBT lies at a critical juncture, one that will be followed either by revitalization of the theory or by its decline. In this introductory article, the authors provide a brief overview of the contributions provided by the commentaries and articles contained in this third Journal of Management special issue on RBT. These contributions center on five themes: interlinkages with other perspectives, processes of resource acquisition and development, the micro-foundations of RBT, RBT and sustainability, and method and measurement issues. Their view is that the commentaries and articles collectively offer a foundation for extending RBT in meaningful new directions and steering clear of decline. They also offer their thoughts about some key opportunities within each of the themes for further revitalizing research involving the RBT. © The Author(s) 2011.","author":[{"dropping-particle":"","family":"Barney","given":"Jay B.","non-dropping-particle":"","parse-names":false,"suffix":""},{"dropping-particle":"","family":"Ketchen","given":"David J.","non-dropping-particle":"","parse-names":false,"suffix":""},{"dropping-particle":"","family":"Wright","given":"Mike","non-dropping-particle":"","parse-names":false,"suffix":""}],"container-title":"Journal of Management","id":"ITEM-1","issue":"5","issued":{"date-parts":[["2011"]]},"page":"1299-1315","title":"The future of resource-based theory: Revitalization or decline?","type":"article-journal","volume":"37"},"uris":["http://www.mendeley.com/documents/?uuid=e0f3f869-8c46-4e07-8658-8c291e424e0f"]}],"mendeley":{"formattedCitation":"(J. B. Barney et al., 2011)","manualFormatting":"(Barney dkk, 2011)","plainTextFormattedCitation":"(J. B. Barney et al., 2011)","previouslyFormattedCitation":"(J. B. Barney et al., 2011)"},"properties":{"noteIndex":0},"schema":"https://github.com/citation-style-language/schema/raw/master/csl-citation.json"}</w:instrText>
      </w:r>
      <w:r>
        <w:fldChar w:fldCharType="separate"/>
      </w:r>
      <w:r w:rsidRPr="002E3396">
        <w:rPr>
          <w:noProof/>
        </w:rPr>
        <w:t xml:space="preserve">(Barney </w:t>
      </w:r>
      <w:r>
        <w:rPr>
          <w:noProof/>
          <w:lang w:val="en-US"/>
        </w:rPr>
        <w:t>dkk</w:t>
      </w:r>
      <w:r w:rsidRPr="002E3396">
        <w:rPr>
          <w:noProof/>
        </w:rPr>
        <w:t>, 2011)</w:t>
      </w:r>
      <w:r>
        <w:fldChar w:fldCharType="end"/>
      </w:r>
      <w:r w:rsidRPr="000F29D8">
        <w:t xml:space="preserve">. </w:t>
      </w:r>
      <w:r w:rsidRPr="00815180">
        <w:t>This theory assumes that companies with superior and competitive intellectual capital can win the competition by creating value and achieving optimal business performance</w:t>
      </w:r>
      <w:r w:rsidRPr="000F29D8">
        <w:t xml:space="preserve"> (Barney &amp; Clark,</w:t>
      </w:r>
      <w:r>
        <w:rPr>
          <w:lang w:val="en-US"/>
        </w:rPr>
        <w:t xml:space="preserve"> 2007).</w:t>
      </w:r>
    </w:p>
    <w:p w14:paraId="6ACFC95E" w14:textId="77777777" w:rsidR="00815180" w:rsidRDefault="00815180" w:rsidP="00C40A65">
      <w:pPr>
        <w:pStyle w:val="BodyText"/>
        <w:ind w:firstLine="720"/>
        <w:jc w:val="both"/>
        <w:rPr>
          <w:bCs/>
          <w:iCs/>
          <w:lang w:val="en-ID"/>
        </w:rPr>
      </w:pPr>
    </w:p>
    <w:p w14:paraId="61E9DB35" w14:textId="77777777" w:rsidR="00EA022A" w:rsidRPr="001B5598" w:rsidRDefault="00EA022A" w:rsidP="00C40A65">
      <w:pPr>
        <w:pStyle w:val="BodyText"/>
        <w:ind w:firstLine="720"/>
        <w:jc w:val="both"/>
      </w:pPr>
    </w:p>
    <w:p w14:paraId="1453FE12" w14:textId="77777777" w:rsidR="00C40A65" w:rsidRPr="00837355" w:rsidRDefault="00C40A65" w:rsidP="00C40A65">
      <w:pPr>
        <w:pStyle w:val="Heading1"/>
        <w:ind w:left="0" w:right="853"/>
        <w:jc w:val="left"/>
      </w:pPr>
      <w:r w:rsidRPr="00837355">
        <w:t>Hypothesis Development</w:t>
      </w:r>
    </w:p>
    <w:p w14:paraId="3758380D" w14:textId="437F6D5D" w:rsidR="001B5598" w:rsidRPr="001B5598" w:rsidRDefault="00C76E0D" w:rsidP="00C40A65">
      <w:pPr>
        <w:pStyle w:val="Heading1"/>
        <w:ind w:left="0" w:right="853"/>
        <w:jc w:val="left"/>
      </w:pPr>
      <w:r w:rsidRPr="00C76E0D">
        <w:t>The Effect of Profitability on Dividend Policy</w:t>
      </w:r>
    </w:p>
    <w:p w14:paraId="498D2A06" w14:textId="77777777" w:rsidR="00C76E0D" w:rsidRPr="00C76E0D" w:rsidRDefault="00C76E0D" w:rsidP="00C76E0D">
      <w:pPr>
        <w:pStyle w:val="Heading1"/>
        <w:ind w:left="0" w:right="30"/>
        <w:rPr>
          <w:b w:val="0"/>
          <w:bCs w:val="0"/>
        </w:rPr>
      </w:pPr>
      <w:r w:rsidRPr="00C76E0D">
        <w:rPr>
          <w:b w:val="0"/>
          <w:bCs w:val="0"/>
        </w:rPr>
        <w:t>Profitability is the company's ability to generate profit or profit by optimally utilizing company assets so that it can affect the company to distribute dividends (Ginting, 2018). The company will issue financial reports at the end of each period. Based on signaling theory, high profits are a positive signal for investors so that they can attract them to invest in their companies and if the company earns high profits it indicates that the company will distribute dividends to be high, and vice versa if the company earns low profits it will indicate that the company will distribute low dividends (Azizah et al, 2020). Research conducted by Krisardiyansah &amp; Amanah (2020); Sudiartana &amp; Yudantara, (2020); and Apriliyona &amp; Fun (2020) which show that profitability has a positive effect on dividend policy. So the first hypothesis of this study:</w:t>
      </w:r>
    </w:p>
    <w:p w14:paraId="3CD3E722" w14:textId="704D4E8C" w:rsidR="001B5598" w:rsidRDefault="00C76E0D" w:rsidP="00C76E0D">
      <w:pPr>
        <w:pStyle w:val="Heading1"/>
        <w:ind w:left="0" w:right="30"/>
        <w:rPr>
          <w:b w:val="0"/>
          <w:bCs w:val="0"/>
        </w:rPr>
      </w:pPr>
      <w:r w:rsidRPr="00C76E0D">
        <w:rPr>
          <w:b w:val="0"/>
          <w:bCs w:val="0"/>
        </w:rPr>
        <w:t>H1: Profitability has a positive effect on dividend policy</w:t>
      </w:r>
    </w:p>
    <w:p w14:paraId="60CB4B37" w14:textId="77777777" w:rsidR="00C76E0D" w:rsidRDefault="00C76E0D" w:rsidP="00C76E0D">
      <w:pPr>
        <w:pStyle w:val="Heading1"/>
        <w:ind w:left="0" w:right="30"/>
        <w:rPr>
          <w:b w:val="0"/>
          <w:bCs w:val="0"/>
        </w:rPr>
      </w:pPr>
    </w:p>
    <w:p w14:paraId="663A3339" w14:textId="6ADB2034" w:rsidR="00C76E0D" w:rsidRPr="00C76E0D" w:rsidRDefault="00C76E0D" w:rsidP="00C76E0D">
      <w:pPr>
        <w:pStyle w:val="Heading1"/>
        <w:ind w:left="0" w:right="30"/>
      </w:pPr>
      <w:r w:rsidRPr="00C76E0D">
        <w:t>The Effect of Liquidity on Dividend Policy</w:t>
      </w:r>
    </w:p>
    <w:p w14:paraId="39BF05DF" w14:textId="77777777" w:rsidR="00C76E0D" w:rsidRPr="00C76E0D" w:rsidRDefault="00C76E0D" w:rsidP="00C76E0D">
      <w:pPr>
        <w:pStyle w:val="Heading1"/>
        <w:ind w:left="0" w:right="30"/>
        <w:rPr>
          <w:b w:val="0"/>
          <w:bCs w:val="0"/>
        </w:rPr>
      </w:pPr>
      <w:r w:rsidRPr="00C76E0D">
        <w:rPr>
          <w:b w:val="0"/>
          <w:bCs w:val="0"/>
        </w:rPr>
        <w:t>Liquidity is a company's ability to finance its operations and meet its short-term debt (Bawamenewi &amp; Afriyeni, 2019). Companies in financing their operations require additional capital or can use debt from other parties, along with the company's ability to pay off its debts (Krisardiyansah &amp; Amanah, 2020). Based on the signaling theory, it explains that a high level of liquidity can provide a positive signal that the company can pay off its short-term obligations in one period. So companies that have high liquidity should be able to pay dividends (Azizah, 2020). Research conducted by Monika &amp; Sudjarni (2017); Hwee et al (2019); and Krisardiyansah &amp; Amanah (2020) by showing that liquidity has a positive effect on dividend policy. So the second hypothesis of this study:</w:t>
      </w:r>
    </w:p>
    <w:p w14:paraId="470B1895" w14:textId="2C9DE214" w:rsidR="001B5598" w:rsidRDefault="00C76E0D" w:rsidP="00C76E0D">
      <w:pPr>
        <w:pStyle w:val="Heading1"/>
        <w:ind w:left="0" w:right="30"/>
        <w:rPr>
          <w:b w:val="0"/>
          <w:bCs w:val="0"/>
        </w:rPr>
      </w:pPr>
      <w:r w:rsidRPr="00C76E0D">
        <w:rPr>
          <w:b w:val="0"/>
          <w:bCs w:val="0"/>
        </w:rPr>
        <w:t>H2: Liquidity has a positive effect on dividend policy</w:t>
      </w:r>
    </w:p>
    <w:p w14:paraId="3FF6D249" w14:textId="77777777" w:rsidR="00C76E0D" w:rsidRDefault="00C76E0D" w:rsidP="00C76E0D">
      <w:pPr>
        <w:pStyle w:val="Heading1"/>
        <w:ind w:left="0" w:right="30"/>
        <w:rPr>
          <w:b w:val="0"/>
          <w:bCs w:val="0"/>
        </w:rPr>
      </w:pPr>
    </w:p>
    <w:p w14:paraId="579FE841" w14:textId="77777777" w:rsidR="00C76E0D" w:rsidRDefault="00C76E0D" w:rsidP="00C76E0D">
      <w:pPr>
        <w:pStyle w:val="BodyText"/>
        <w:jc w:val="both"/>
        <w:rPr>
          <w:b/>
          <w:bCs/>
        </w:rPr>
      </w:pPr>
      <w:r w:rsidRPr="00C76E0D">
        <w:rPr>
          <w:b/>
          <w:bCs/>
        </w:rPr>
        <w:t>The Effect of Solvency on Dividend Policy</w:t>
      </w:r>
    </w:p>
    <w:p w14:paraId="6B3E9A01" w14:textId="77777777" w:rsidR="00C76E0D" w:rsidRDefault="00C76E0D" w:rsidP="00C76E0D">
      <w:pPr>
        <w:pStyle w:val="Heading1"/>
        <w:ind w:left="0" w:right="30"/>
        <w:rPr>
          <w:b w:val="0"/>
          <w:bCs w:val="0"/>
        </w:rPr>
      </w:pPr>
      <w:r w:rsidRPr="00C76E0D">
        <w:rPr>
          <w:b w:val="0"/>
          <w:bCs w:val="0"/>
        </w:rPr>
        <w:t>Solvency is an ability to estimate the extent to which debt can finance the company's assets, and shows the size of the company's ability to fulfill all of its obligations (Pangestuti, 2020). Based on the signaling theory, companies that have high debt financing are influenced by conditions in the business sector that are indeed at risk. So that it can be a negative signal and a risk for investors that the longer a business is run, the company will be more comfortable getting financing from debt (Sudiartana &amp; Yudantara, 2020). Companies that can pay their obligations quickly, the dividends are distributed to be small or can become retained earnings, and if the company does not pay its obligations quickly or is not even paid, then the dividends can be paid quite a lot by the company based on the profits it gets. So this can be a signal for investors. Research conducted by Bawamenewi &amp; Afriyeni (2019); Febrianti &amp; Zulvia (2020); and (Pangestuti, 2020) shows that solvency has a negative effect on dividend policy. So the third hypothesis of this study:</w:t>
      </w:r>
    </w:p>
    <w:p w14:paraId="2DD4DB38" w14:textId="025A2485" w:rsidR="00C40A65" w:rsidRDefault="00C76E0D" w:rsidP="00C76E0D">
      <w:pPr>
        <w:pStyle w:val="Heading1"/>
        <w:ind w:left="0" w:right="30"/>
        <w:rPr>
          <w:b w:val="0"/>
          <w:bCs w:val="0"/>
        </w:rPr>
      </w:pPr>
      <w:r w:rsidRPr="00C76E0D">
        <w:rPr>
          <w:b w:val="0"/>
          <w:bCs w:val="0"/>
        </w:rPr>
        <w:t>H3: Solvability has a negative effect on dividend policy</w:t>
      </w:r>
    </w:p>
    <w:p w14:paraId="5737AB01" w14:textId="77777777" w:rsidR="007D5EC4" w:rsidRDefault="007D5EC4" w:rsidP="00C76E0D">
      <w:pPr>
        <w:pStyle w:val="Heading1"/>
        <w:ind w:left="0" w:right="30"/>
        <w:rPr>
          <w:b w:val="0"/>
          <w:bCs w:val="0"/>
        </w:rPr>
      </w:pPr>
    </w:p>
    <w:p w14:paraId="314CE81E" w14:textId="5BF1F425" w:rsidR="00C76E0D" w:rsidRDefault="00C76E0D" w:rsidP="00C76E0D">
      <w:pPr>
        <w:pStyle w:val="Heading1"/>
        <w:ind w:left="0" w:right="30"/>
      </w:pPr>
      <w:r w:rsidRPr="00C76E0D">
        <w:lastRenderedPageBreak/>
        <w:t>The Effect of Intellectual Capital on Dividend Policy</w:t>
      </w:r>
    </w:p>
    <w:p w14:paraId="21DEF099" w14:textId="77777777" w:rsidR="007D5EC4" w:rsidRPr="007D5EC4" w:rsidRDefault="007D5EC4" w:rsidP="007D5EC4">
      <w:pPr>
        <w:pStyle w:val="Heading1"/>
        <w:ind w:left="0" w:right="30"/>
        <w:rPr>
          <w:b w:val="0"/>
          <w:bCs w:val="0"/>
        </w:rPr>
      </w:pPr>
      <w:r w:rsidRPr="007D5EC4">
        <w:rPr>
          <w:b w:val="0"/>
          <w:bCs w:val="0"/>
        </w:rPr>
        <w:t>Intellectual capital is an ability and skill related to knowledge that is useful for companies as a competitive advantage so that they can have good company competitiveness and company resilience in the market (L. I. A. T. Putri &amp; Pratama, 2020). Resource-Based Theory (RBT) explains that the use of intellectual capital can be a resource that serves as the core for creating value and competitive advantage in companies (Barney, 1991). Disclosure of Intellectual Capital means that companies have a competitive advantage compared to other companies, so that investors are more interested in companies that disclose Intellectual Capital. For this reason, companies that manage intellectual capital well indicate that companies can generate high profits so that they can distribute dividends (Battisti et al, 2022). In general, competitive companies have advantages from intellectual capital which is expected to be able to increase aspects of sales and use of company resources optimally which can increase company revenues and with the hope of impacting dividends given to shareholders. The results of research from Battisti et al, (2022) show that intellectual capital has a positive effect on dividend policy. So the fourth hypothesis of this study:</w:t>
      </w:r>
    </w:p>
    <w:p w14:paraId="6C302227" w14:textId="00C0DFE6" w:rsidR="007D5EC4" w:rsidRPr="007D5EC4" w:rsidRDefault="007D5EC4" w:rsidP="007D5EC4">
      <w:pPr>
        <w:pStyle w:val="Heading1"/>
        <w:ind w:left="0" w:right="30"/>
        <w:rPr>
          <w:b w:val="0"/>
          <w:bCs w:val="0"/>
        </w:rPr>
      </w:pPr>
      <w:r w:rsidRPr="007D5EC4">
        <w:rPr>
          <w:b w:val="0"/>
          <w:bCs w:val="0"/>
        </w:rPr>
        <w:t>H4: Intellectual capital has a positive effect on dividend policy</w:t>
      </w:r>
    </w:p>
    <w:p w14:paraId="3BF7876E" w14:textId="77777777" w:rsidR="00C76E0D" w:rsidRPr="00C76E0D" w:rsidRDefault="00C76E0D" w:rsidP="00C76E0D">
      <w:pPr>
        <w:pStyle w:val="Heading1"/>
        <w:ind w:left="0" w:right="30"/>
      </w:pPr>
    </w:p>
    <w:p w14:paraId="59EAC0AB" w14:textId="77777777" w:rsidR="00C40A65" w:rsidRDefault="00C40A65" w:rsidP="00E45AAD">
      <w:pPr>
        <w:pStyle w:val="Heading1"/>
        <w:numPr>
          <w:ilvl w:val="0"/>
          <w:numId w:val="5"/>
        </w:numPr>
        <w:ind w:left="709" w:right="853"/>
        <w:jc w:val="left"/>
      </w:pPr>
      <w:r w:rsidRPr="00364118">
        <w:rPr>
          <w:lang w:val="en-US"/>
        </w:rPr>
        <w:t>RESEARCH</w:t>
      </w:r>
      <w:r w:rsidRPr="0021158F">
        <w:t xml:space="preserve"> METHODOLOGY</w:t>
      </w:r>
    </w:p>
    <w:p w14:paraId="1DEE4B59" w14:textId="77777777" w:rsidR="001B5598" w:rsidRPr="001B5598" w:rsidRDefault="001B5598" w:rsidP="00C40A65">
      <w:pPr>
        <w:pStyle w:val="Heading1"/>
        <w:ind w:left="0" w:right="853"/>
        <w:jc w:val="left"/>
        <w:rPr>
          <w:b w:val="0"/>
          <w:bCs w:val="0"/>
        </w:rPr>
      </w:pPr>
    </w:p>
    <w:p w14:paraId="2FCEE95E" w14:textId="77777777" w:rsidR="006D2AF2" w:rsidRDefault="006D2AF2" w:rsidP="006D2AF2">
      <w:pPr>
        <w:pStyle w:val="BodyText"/>
        <w:ind w:firstLine="720"/>
        <w:jc w:val="both"/>
        <w:rPr>
          <w:lang w:val="en-US"/>
        </w:rPr>
      </w:pPr>
      <w:r w:rsidRPr="006D2AF2">
        <w:t>The population used in this study are health and pharmaceutical companies in the healthcare sector which are listed on the Indonesian Stock Exchange (IDX) website. Meanwhile, the samples were selected using a purposive sampling technique, which is a sampling technique with certain criteria. These criteria include: 1) Health and pharmaceutical companies in the healthcare sector that are listed on the IDX for the 2017-2021 period, 2) Health and pharmaceutical companies in the healthcare sector which publish company financial reports for the period 2017-2021. 3) Health and pharmaceutical companies in the healthcare sector which provide information regarding the variables in this study, 4) Health and pharmaceutical companies in the healthcare sector which distribute dividends. The type of data used in this research is documentary data. Meanwhile, the data sources used are secondary data consisting of balance sheets, income statements, financial information and non-accounting data from companies listed as mining companies on the IDX from 2017-2020 originating from the Indonesia Stock Exchange (IDX).</w:t>
      </w:r>
      <w:r>
        <w:rPr>
          <w:lang w:val="en-US"/>
        </w:rPr>
        <w:t xml:space="preserve"> </w:t>
      </w:r>
    </w:p>
    <w:p w14:paraId="6FDAA2DD" w14:textId="68905463" w:rsidR="006D2AF2" w:rsidRPr="006D2AF2" w:rsidRDefault="006D2AF2" w:rsidP="006D2AF2">
      <w:pPr>
        <w:pStyle w:val="BodyText"/>
        <w:ind w:firstLine="720"/>
        <w:jc w:val="both"/>
        <w:rPr>
          <w:lang w:val="en-US"/>
        </w:rPr>
      </w:pPr>
      <w:r w:rsidRPr="006D2AF2">
        <w:rPr>
          <w:lang w:val="en-US"/>
        </w:rPr>
        <w:t xml:space="preserve">Dividend policy is the distribution of profits obtained by the company in one period to company investors (Monika &amp; </w:t>
      </w:r>
      <w:proofErr w:type="spellStart"/>
      <w:r w:rsidRPr="006D2AF2">
        <w:rPr>
          <w:lang w:val="en-US"/>
        </w:rPr>
        <w:t>Sudjarni</w:t>
      </w:r>
      <w:proofErr w:type="spellEnd"/>
      <w:r w:rsidRPr="006D2AF2">
        <w:rPr>
          <w:lang w:val="en-US"/>
        </w:rPr>
        <w:t xml:space="preserve">, 2017). The dividend policy used in this study is proxied </w:t>
      </w:r>
      <w:r w:rsidRPr="006D2AF2">
        <w:t xml:space="preserve">by the Dividend Payout Ratio (DPR), which is a measurement ratio that compares company dividends to earnings per </w:t>
      </w:r>
      <w:proofErr w:type="spellStart"/>
      <w:r w:rsidRPr="006D2AF2">
        <w:t>share</w:t>
      </w:r>
      <w:proofErr w:type="spellEnd"/>
      <w:r w:rsidRPr="006D2AF2">
        <w:t xml:space="preserve"> (</w:t>
      </w:r>
      <w:proofErr w:type="spellStart"/>
      <w:r w:rsidRPr="006D2AF2">
        <w:t>Murhadi</w:t>
      </w:r>
      <w:proofErr w:type="spellEnd"/>
      <w:r w:rsidRPr="006D2AF2">
        <w:t xml:space="preserve">, 2019). Profitability is a company disclosure in generating profits that can be seen in each company's books or at the end of the period </w:t>
      </w:r>
      <w:r w:rsidRPr="006D2AF2">
        <w:fldChar w:fldCharType="begin" w:fldLock="1"/>
      </w:r>
      <w:r w:rsidRPr="006D2AF2">
        <w:instrText>ADDIN CSL_CITATION {"citationItems":[{"id":"ITEM-1","itemData":{"abstract":"Penelitian ini bertujuan untuk mengetahui dan menganalisis pengaruh Likuiditas, Profitabilitas, dan leverageterhadap kebijakan deviden pada perusahaan LQ45 yang terdaftar di Bursa Efek Indonesia periode 2012-2016 Populasi penelitian ini adalah 45 perusahaan yang masuk kategori LQ 45. Dengan menggunakan metode penarikan sampel purposive sampling jumlah sampel yang diperoleh yaitu sebanyak 16 perusahaan. Metode pengujian data yang digunakan adalah analisis regresi linier berganda. Berdasarkan hasil pengujian data, secara simultan Likuiditas, Profitabilitas dan Leverage berpengaruh signifikan terhadap kebijakan dividen. Secara parsial, hanya Profitabilitas yang berpengaruh signifikan positif terhadap kebijakan deviden, sedangkan Likuiditas dan Leverage tidak berpengaruh secara signifikan terhadap kebijakan deviden pada perusahaan yang masuk kategori LQ 45 periode 2012 - 2016 Keywords:","author":[{"dropping-particle":"","family":"Ginting","given":"Suriani","non-dropping-particle":"","parse-names":false,"suffix":""}],"container-title":"Jwem Stie Mikroskil","id":"ITEM-1","issue":"2","issued":{"date-parts":[["2018"]]},"page":"195-204","title":"Pengaruh Likuiditas, Profitabilitas. Dan Leverage Terhadap Kebijakan Deviden Pada Perusahaan LQ46 Yang Terdaftar Di Bursa Efek Indonesia Periode 2012-2016","type":"article-journal","volume":"8"},"uris":["http://www.mendeley.com/documents/?uuid=97020ce2-55fa-4bab-a426-d1e227ba3cd2"]}],"mendeley":{"formattedCitation":"(Ginting, 2018)","plainTextFormattedCitation":"(Ginting, 2018)","previouslyFormattedCitation":"(Ginting, 2018)"},"properties":{"noteIndex":0},"schema":"https://github.com/citation-style-language/schema/raw/master/csl-citation.json"}</w:instrText>
      </w:r>
      <w:r w:rsidRPr="006D2AF2">
        <w:fldChar w:fldCharType="separate"/>
      </w:r>
      <w:r w:rsidRPr="006D2AF2">
        <w:t>(Ginting, 2018)</w:t>
      </w:r>
      <w:r w:rsidRPr="006D2AF2">
        <w:fldChar w:fldCharType="end"/>
      </w:r>
      <w:r w:rsidRPr="006D2AF2">
        <w:t>. Profitability in this study is proxied by return on assets (ROA), which is one of the measurements of profitability based on the level of profit or profit of the company divided by the total assets owned by the company so that it shows the extent to which the company is optimally utilizing its assets in managing it so that it generates profits (Hanafi, 2014).  Liquidity is a disclosure of how far the company has paid off its short-term obligations in funding the company's operations (Ginting, 2018). Liquidity in this study is proxied by the current ratio (CR), which shows the ratio of the company's current assets divided by the company's current debt (Hanafi, 2014).</w:t>
      </w:r>
      <w:r>
        <w:rPr>
          <w:lang w:val="en-US"/>
        </w:rPr>
        <w:t xml:space="preserve"> </w:t>
      </w:r>
      <w:r w:rsidRPr="006D2AF2">
        <w:rPr>
          <w:lang w:val="en-US"/>
        </w:rPr>
        <w:t>Solvability is a disclosure of how far the company has used the debt owned by the company (</w:t>
      </w:r>
      <w:proofErr w:type="spellStart"/>
      <w:r w:rsidRPr="006D2AF2">
        <w:rPr>
          <w:lang w:val="en-US"/>
        </w:rPr>
        <w:t>Hwee</w:t>
      </w:r>
      <w:proofErr w:type="spellEnd"/>
      <w:r w:rsidRPr="006D2AF2">
        <w:rPr>
          <w:lang w:val="en-US"/>
        </w:rPr>
        <w:t xml:space="preserve"> et al, 2019). The solvency in this study is proxied by the debt to assets ratio (DAR), which shows the ratio of the amount of debt owned by the company to the total assets of the company so that it shows the amount of company debt that is used to finance assets in fulfilling the company's operational activities (</w:t>
      </w:r>
      <w:proofErr w:type="spellStart"/>
      <w:r w:rsidRPr="006D2AF2">
        <w:rPr>
          <w:lang w:val="en-US"/>
        </w:rPr>
        <w:t>Hery</w:t>
      </w:r>
      <w:proofErr w:type="spellEnd"/>
      <w:r w:rsidRPr="006D2AF2">
        <w:rPr>
          <w:lang w:val="en-US"/>
        </w:rPr>
        <w:t>, 2016).</w:t>
      </w:r>
      <w:r>
        <w:rPr>
          <w:lang w:val="en-US"/>
        </w:rPr>
        <w:t xml:space="preserve"> </w:t>
      </w:r>
      <w:r w:rsidRPr="006D2AF2">
        <w:rPr>
          <w:lang w:val="en-US"/>
        </w:rPr>
        <w:t xml:space="preserve">Intellectual capital is an intangible asset that can indirectly be seen in </w:t>
      </w:r>
      <w:r w:rsidRPr="006D2AF2">
        <w:rPr>
          <w:lang w:val="en-US"/>
        </w:rPr>
        <w:lastRenderedPageBreak/>
        <w:t>the financial statements which functions to create value and excellence for the company (</w:t>
      </w:r>
      <w:proofErr w:type="spellStart"/>
      <w:r w:rsidRPr="006D2AF2">
        <w:rPr>
          <w:lang w:val="en-US"/>
        </w:rPr>
        <w:t>Pratama</w:t>
      </w:r>
      <w:proofErr w:type="spellEnd"/>
      <w:r w:rsidRPr="006D2AF2">
        <w:rPr>
          <w:lang w:val="en-US"/>
        </w:rPr>
        <w:t xml:space="preserve">, 2016). According to </w:t>
      </w:r>
      <w:proofErr w:type="spellStart"/>
      <w:r w:rsidRPr="006D2AF2">
        <w:rPr>
          <w:lang w:val="en-US"/>
        </w:rPr>
        <w:t>Ulum</w:t>
      </w:r>
      <w:proofErr w:type="spellEnd"/>
      <w:r w:rsidRPr="006D2AF2">
        <w:rPr>
          <w:lang w:val="en-US"/>
        </w:rPr>
        <w:t xml:space="preserve">, (2009) states that the model for measuring intellectual capital uses the </w:t>
      </w:r>
      <w:proofErr w:type="gramStart"/>
      <w:r w:rsidRPr="006D2AF2">
        <w:rPr>
          <w:lang w:val="en-US"/>
        </w:rPr>
        <w:t>Value Added</w:t>
      </w:r>
      <w:proofErr w:type="gramEnd"/>
      <w:r w:rsidRPr="006D2AF2">
        <w:rPr>
          <w:lang w:val="en-US"/>
        </w:rPr>
        <w:t xml:space="preserve"> Intellectual Coefficient (VAIC) method.</w:t>
      </w:r>
    </w:p>
    <w:p w14:paraId="54073C72" w14:textId="77777777" w:rsidR="001B5598" w:rsidRDefault="001B5598" w:rsidP="00C40A65">
      <w:pPr>
        <w:pStyle w:val="BodyText"/>
        <w:ind w:firstLine="720"/>
        <w:jc w:val="both"/>
      </w:pPr>
    </w:p>
    <w:p w14:paraId="34A6C824" w14:textId="77777777" w:rsidR="00E45AAD" w:rsidRPr="001B5598" w:rsidRDefault="00E45AAD" w:rsidP="00C40A65">
      <w:pPr>
        <w:pStyle w:val="BodyText"/>
        <w:ind w:firstLine="720"/>
        <w:jc w:val="both"/>
      </w:pPr>
    </w:p>
    <w:p w14:paraId="7D58E80A" w14:textId="77777777" w:rsidR="00C40A65" w:rsidRPr="00AF441C" w:rsidRDefault="00E45AAD" w:rsidP="00C40A65">
      <w:pPr>
        <w:pStyle w:val="Heading1"/>
        <w:ind w:left="0" w:right="853"/>
        <w:jc w:val="left"/>
      </w:pPr>
      <w:r>
        <w:t>4,</w:t>
      </w:r>
      <w:r>
        <w:tab/>
      </w:r>
      <w:r w:rsidR="00C40A65" w:rsidRPr="00364118">
        <w:t>RESEARCH RESULTS AND DISCUSSION</w:t>
      </w:r>
    </w:p>
    <w:p w14:paraId="7C9E15B1" w14:textId="6BAD6A11" w:rsidR="00E03E2A" w:rsidRDefault="00E03E2A" w:rsidP="00C40A65">
      <w:pPr>
        <w:pStyle w:val="BodyText"/>
        <w:jc w:val="both"/>
      </w:pPr>
    </w:p>
    <w:p w14:paraId="53539F60" w14:textId="1D9F6C5A" w:rsidR="006D2AF2" w:rsidRPr="00F0682F" w:rsidRDefault="006D2AF2" w:rsidP="006D2AF2">
      <w:pPr>
        <w:pStyle w:val="BodyText"/>
        <w:spacing w:before="1"/>
        <w:ind w:left="120"/>
        <w:jc w:val="both"/>
      </w:pPr>
      <w:r w:rsidRPr="006D2AF2">
        <w:t>Descriptive statistical analysis serves to describe or describe known data based on the number of samples, minimum, maximum, average, and standard deviation values (Ghozali, 2016). The result is as follows:</w:t>
      </w:r>
    </w:p>
    <w:p w14:paraId="4A160615" w14:textId="150E88E6" w:rsidR="006D2AF2" w:rsidRPr="00F0682F" w:rsidRDefault="006D2AF2" w:rsidP="006D2AF2">
      <w:pPr>
        <w:pStyle w:val="Heading1"/>
        <w:ind w:left="450" w:right="490"/>
        <w:jc w:val="center"/>
      </w:pPr>
      <w:r>
        <w:rPr>
          <w:lang w:val="en-US"/>
        </w:rPr>
        <w:t xml:space="preserve">Table 1. </w:t>
      </w:r>
      <w:r w:rsidRPr="00F0682F">
        <w:t>Descriptive Statistics</w:t>
      </w:r>
    </w:p>
    <w:tbl>
      <w:tblPr>
        <w:tblW w:w="0" w:type="auto"/>
        <w:tblInd w:w="973" w:type="dxa"/>
        <w:tblLayout w:type="fixed"/>
        <w:tblCellMar>
          <w:left w:w="0" w:type="dxa"/>
          <w:right w:w="0" w:type="dxa"/>
        </w:tblCellMar>
        <w:tblLook w:val="04A0" w:firstRow="1" w:lastRow="0" w:firstColumn="1" w:lastColumn="0" w:noHBand="0" w:noVBand="1"/>
      </w:tblPr>
      <w:tblGrid>
        <w:gridCol w:w="1302"/>
        <w:gridCol w:w="778"/>
        <w:gridCol w:w="1397"/>
        <w:gridCol w:w="1329"/>
        <w:gridCol w:w="1205"/>
        <w:gridCol w:w="1273"/>
      </w:tblGrid>
      <w:tr w:rsidR="006D2AF2" w:rsidRPr="00F0682F" w14:paraId="3C200B12" w14:textId="77777777" w:rsidTr="00A10DEA">
        <w:trPr>
          <w:trHeight w:val="552"/>
        </w:trPr>
        <w:tc>
          <w:tcPr>
            <w:tcW w:w="1302" w:type="dxa"/>
            <w:tcBorders>
              <w:top w:val="single" w:sz="4" w:space="0" w:color="000000"/>
              <w:bottom w:val="single" w:sz="4" w:space="0" w:color="000000"/>
            </w:tcBorders>
          </w:tcPr>
          <w:p w14:paraId="49F43629" w14:textId="77777777" w:rsidR="006D2AF2" w:rsidRPr="00F0682F" w:rsidRDefault="006D2AF2" w:rsidP="00A10DEA">
            <w:pPr>
              <w:pStyle w:val="TableParagraph"/>
              <w:ind w:left="193"/>
              <w:rPr>
                <w:sz w:val="24"/>
                <w:szCs w:val="24"/>
              </w:rPr>
            </w:pPr>
            <w:r w:rsidRPr="00F0682F">
              <w:rPr>
                <w:sz w:val="24"/>
                <w:szCs w:val="24"/>
              </w:rPr>
              <w:t>Variabel</w:t>
            </w:r>
          </w:p>
        </w:tc>
        <w:tc>
          <w:tcPr>
            <w:tcW w:w="778" w:type="dxa"/>
            <w:tcBorders>
              <w:top w:val="single" w:sz="4" w:space="0" w:color="000000"/>
              <w:bottom w:val="single" w:sz="4" w:space="0" w:color="000000"/>
            </w:tcBorders>
          </w:tcPr>
          <w:p w14:paraId="38CE9744" w14:textId="77777777" w:rsidR="006D2AF2" w:rsidRPr="00F0682F" w:rsidRDefault="006D2AF2" w:rsidP="00A10DEA">
            <w:pPr>
              <w:pStyle w:val="TableParagraph"/>
              <w:ind w:left="301"/>
              <w:rPr>
                <w:sz w:val="24"/>
                <w:szCs w:val="24"/>
              </w:rPr>
            </w:pPr>
            <w:r w:rsidRPr="00F0682F">
              <w:rPr>
                <w:w w:val="99"/>
                <w:sz w:val="24"/>
                <w:szCs w:val="24"/>
              </w:rPr>
              <w:t>N</w:t>
            </w:r>
          </w:p>
        </w:tc>
        <w:tc>
          <w:tcPr>
            <w:tcW w:w="1397" w:type="dxa"/>
            <w:tcBorders>
              <w:top w:val="single" w:sz="4" w:space="0" w:color="000000"/>
              <w:bottom w:val="single" w:sz="4" w:space="0" w:color="000000"/>
            </w:tcBorders>
          </w:tcPr>
          <w:p w14:paraId="688DD368" w14:textId="77777777" w:rsidR="006D2AF2" w:rsidRPr="00F0682F" w:rsidRDefault="006D2AF2" w:rsidP="00A10DEA">
            <w:pPr>
              <w:pStyle w:val="TableParagraph"/>
              <w:ind w:left="247" w:right="148"/>
              <w:jc w:val="center"/>
              <w:rPr>
                <w:sz w:val="24"/>
                <w:szCs w:val="24"/>
              </w:rPr>
            </w:pPr>
            <w:r w:rsidRPr="00F0682F">
              <w:rPr>
                <w:sz w:val="24"/>
                <w:szCs w:val="24"/>
              </w:rPr>
              <w:t>Minimum</w:t>
            </w:r>
          </w:p>
        </w:tc>
        <w:tc>
          <w:tcPr>
            <w:tcW w:w="1329" w:type="dxa"/>
            <w:tcBorders>
              <w:top w:val="single" w:sz="4" w:space="0" w:color="000000"/>
              <w:bottom w:val="single" w:sz="4" w:space="0" w:color="000000"/>
            </w:tcBorders>
          </w:tcPr>
          <w:p w14:paraId="23F43678" w14:textId="77777777" w:rsidR="006D2AF2" w:rsidRPr="00F0682F" w:rsidRDefault="006D2AF2" w:rsidP="00A10DEA">
            <w:pPr>
              <w:pStyle w:val="TableParagraph"/>
              <w:ind w:left="147" w:right="141"/>
              <w:jc w:val="center"/>
              <w:rPr>
                <w:sz w:val="24"/>
                <w:szCs w:val="24"/>
              </w:rPr>
            </w:pPr>
            <w:r w:rsidRPr="00F0682F">
              <w:rPr>
                <w:sz w:val="24"/>
                <w:szCs w:val="24"/>
              </w:rPr>
              <w:t>Maximum</w:t>
            </w:r>
          </w:p>
        </w:tc>
        <w:tc>
          <w:tcPr>
            <w:tcW w:w="1205" w:type="dxa"/>
            <w:tcBorders>
              <w:top w:val="single" w:sz="4" w:space="0" w:color="000000"/>
              <w:bottom w:val="single" w:sz="4" w:space="0" w:color="000000"/>
            </w:tcBorders>
          </w:tcPr>
          <w:p w14:paraId="6ADA4C78" w14:textId="77777777" w:rsidR="006D2AF2" w:rsidRPr="00F0682F" w:rsidRDefault="006D2AF2" w:rsidP="00A10DEA">
            <w:pPr>
              <w:pStyle w:val="TableParagraph"/>
              <w:ind w:left="131" w:right="115"/>
              <w:jc w:val="center"/>
              <w:rPr>
                <w:sz w:val="24"/>
                <w:szCs w:val="24"/>
              </w:rPr>
            </w:pPr>
            <w:r w:rsidRPr="00F0682F">
              <w:rPr>
                <w:sz w:val="24"/>
                <w:szCs w:val="24"/>
              </w:rPr>
              <w:t>Mean</w:t>
            </w:r>
          </w:p>
        </w:tc>
        <w:tc>
          <w:tcPr>
            <w:tcW w:w="1273" w:type="dxa"/>
            <w:tcBorders>
              <w:top w:val="single" w:sz="4" w:space="0" w:color="000000"/>
              <w:bottom w:val="single" w:sz="4" w:space="0" w:color="000000"/>
            </w:tcBorders>
          </w:tcPr>
          <w:p w14:paraId="53B47E3F" w14:textId="77777777" w:rsidR="006D2AF2" w:rsidRPr="00F0682F" w:rsidRDefault="006D2AF2" w:rsidP="00A10DEA">
            <w:pPr>
              <w:pStyle w:val="TableParagraph"/>
              <w:ind w:left="146" w:right="137"/>
              <w:jc w:val="center"/>
              <w:rPr>
                <w:sz w:val="24"/>
                <w:szCs w:val="24"/>
              </w:rPr>
            </w:pPr>
            <w:r w:rsidRPr="00F0682F">
              <w:rPr>
                <w:sz w:val="24"/>
                <w:szCs w:val="24"/>
              </w:rPr>
              <w:t>Std.</w:t>
            </w:r>
          </w:p>
          <w:p w14:paraId="4E5C0B08" w14:textId="77777777" w:rsidR="006D2AF2" w:rsidRPr="00F0682F" w:rsidRDefault="006D2AF2" w:rsidP="00A10DEA">
            <w:pPr>
              <w:pStyle w:val="TableParagraph"/>
              <w:ind w:left="146" w:right="139"/>
              <w:jc w:val="center"/>
              <w:rPr>
                <w:sz w:val="24"/>
                <w:szCs w:val="24"/>
              </w:rPr>
            </w:pPr>
            <w:r w:rsidRPr="00F0682F">
              <w:rPr>
                <w:sz w:val="24"/>
                <w:szCs w:val="24"/>
              </w:rPr>
              <w:t>Deviation</w:t>
            </w:r>
          </w:p>
        </w:tc>
      </w:tr>
      <w:tr w:rsidR="006D2AF2" w:rsidRPr="00F0682F" w14:paraId="7F2400C3" w14:textId="77777777" w:rsidTr="00A10DEA">
        <w:trPr>
          <w:trHeight w:val="281"/>
        </w:trPr>
        <w:tc>
          <w:tcPr>
            <w:tcW w:w="1302" w:type="dxa"/>
            <w:tcBorders>
              <w:top w:val="single" w:sz="4" w:space="0" w:color="000000"/>
            </w:tcBorders>
          </w:tcPr>
          <w:p w14:paraId="34559139" w14:textId="77777777" w:rsidR="006D2AF2" w:rsidRPr="00F0682F" w:rsidRDefault="006D2AF2" w:rsidP="00A10DEA">
            <w:pPr>
              <w:pStyle w:val="TableParagraph"/>
              <w:ind w:left="112"/>
              <w:rPr>
                <w:sz w:val="24"/>
                <w:szCs w:val="24"/>
                <w:lang w:val="en-US"/>
              </w:rPr>
            </w:pPr>
            <w:r w:rsidRPr="00F0682F">
              <w:rPr>
                <w:sz w:val="24"/>
                <w:szCs w:val="24"/>
                <w:lang w:val="en-US"/>
              </w:rPr>
              <w:t>ROA</w:t>
            </w:r>
          </w:p>
        </w:tc>
        <w:tc>
          <w:tcPr>
            <w:tcW w:w="778" w:type="dxa"/>
            <w:tcBorders>
              <w:top w:val="single" w:sz="4" w:space="0" w:color="000000"/>
            </w:tcBorders>
          </w:tcPr>
          <w:p w14:paraId="51B10FD2" w14:textId="77777777" w:rsidR="006D2AF2" w:rsidRPr="00F0682F" w:rsidRDefault="006D2AF2" w:rsidP="00A10DEA">
            <w:pPr>
              <w:pStyle w:val="TableParagraph"/>
              <w:ind w:left="269"/>
              <w:rPr>
                <w:sz w:val="24"/>
                <w:szCs w:val="24"/>
                <w:lang w:val="en-US"/>
              </w:rPr>
            </w:pPr>
            <w:r w:rsidRPr="00F0682F">
              <w:rPr>
                <w:sz w:val="24"/>
                <w:szCs w:val="24"/>
                <w:lang w:val="en-US"/>
              </w:rPr>
              <w:t>66</w:t>
            </w:r>
          </w:p>
        </w:tc>
        <w:tc>
          <w:tcPr>
            <w:tcW w:w="1397" w:type="dxa"/>
            <w:tcBorders>
              <w:top w:val="single" w:sz="4" w:space="0" w:color="000000"/>
            </w:tcBorders>
          </w:tcPr>
          <w:p w14:paraId="10B8DC82" w14:textId="77777777" w:rsidR="006D2AF2" w:rsidRPr="00F0682F" w:rsidRDefault="006D2AF2" w:rsidP="00A10DEA">
            <w:pPr>
              <w:pStyle w:val="TableParagraph"/>
              <w:ind w:left="143" w:right="148"/>
              <w:jc w:val="right"/>
              <w:rPr>
                <w:sz w:val="24"/>
                <w:szCs w:val="24"/>
              </w:rPr>
            </w:pPr>
            <w:r w:rsidRPr="00F0682F">
              <w:rPr>
                <w:sz w:val="24"/>
                <w:szCs w:val="24"/>
              </w:rPr>
              <w:t>0,009</w:t>
            </w:r>
          </w:p>
        </w:tc>
        <w:tc>
          <w:tcPr>
            <w:tcW w:w="1329" w:type="dxa"/>
            <w:tcBorders>
              <w:top w:val="single" w:sz="4" w:space="0" w:color="000000"/>
            </w:tcBorders>
          </w:tcPr>
          <w:p w14:paraId="1EF02C50" w14:textId="77777777" w:rsidR="006D2AF2" w:rsidRPr="00F0682F" w:rsidRDefault="006D2AF2" w:rsidP="00A10DEA">
            <w:pPr>
              <w:pStyle w:val="TableParagraph"/>
              <w:ind w:left="147" w:right="139"/>
              <w:jc w:val="right"/>
              <w:rPr>
                <w:sz w:val="24"/>
                <w:szCs w:val="24"/>
              </w:rPr>
            </w:pPr>
            <w:r w:rsidRPr="00F0682F">
              <w:rPr>
                <w:sz w:val="24"/>
                <w:szCs w:val="24"/>
              </w:rPr>
              <w:t>0,921</w:t>
            </w:r>
          </w:p>
        </w:tc>
        <w:tc>
          <w:tcPr>
            <w:tcW w:w="1205" w:type="dxa"/>
            <w:tcBorders>
              <w:top w:val="single" w:sz="4" w:space="0" w:color="000000"/>
            </w:tcBorders>
          </w:tcPr>
          <w:p w14:paraId="7EE0BEAB" w14:textId="77777777" w:rsidR="006D2AF2" w:rsidRPr="00F0682F" w:rsidRDefault="006D2AF2" w:rsidP="00A10DEA">
            <w:pPr>
              <w:pStyle w:val="TableParagraph"/>
              <w:ind w:left="129" w:right="115"/>
              <w:jc w:val="right"/>
              <w:rPr>
                <w:sz w:val="24"/>
                <w:szCs w:val="24"/>
              </w:rPr>
            </w:pPr>
            <w:bookmarkStart w:id="1" w:name="_Hlk104237457"/>
            <w:r w:rsidRPr="00F0682F">
              <w:rPr>
                <w:sz w:val="24"/>
                <w:szCs w:val="24"/>
              </w:rPr>
              <w:t>0,</w:t>
            </w:r>
            <w:bookmarkEnd w:id="1"/>
            <w:r w:rsidRPr="00F0682F">
              <w:rPr>
                <w:sz w:val="24"/>
                <w:szCs w:val="24"/>
              </w:rPr>
              <w:t>120</w:t>
            </w:r>
          </w:p>
        </w:tc>
        <w:tc>
          <w:tcPr>
            <w:tcW w:w="1273" w:type="dxa"/>
            <w:tcBorders>
              <w:top w:val="single" w:sz="4" w:space="0" w:color="000000"/>
            </w:tcBorders>
          </w:tcPr>
          <w:p w14:paraId="0EFF9C83" w14:textId="77777777" w:rsidR="006D2AF2" w:rsidRPr="00F0682F" w:rsidRDefault="006D2AF2" w:rsidP="00A10DEA">
            <w:pPr>
              <w:pStyle w:val="TableParagraph"/>
              <w:ind w:left="130"/>
              <w:jc w:val="right"/>
              <w:rPr>
                <w:sz w:val="24"/>
                <w:szCs w:val="24"/>
              </w:rPr>
            </w:pPr>
            <w:bookmarkStart w:id="2" w:name="_Hlk104237559"/>
            <w:r w:rsidRPr="00F0682F">
              <w:rPr>
                <w:sz w:val="24"/>
                <w:szCs w:val="24"/>
              </w:rPr>
              <w:t>0,</w:t>
            </w:r>
            <w:bookmarkEnd w:id="2"/>
            <w:r w:rsidRPr="00F0682F">
              <w:rPr>
                <w:sz w:val="24"/>
                <w:szCs w:val="24"/>
              </w:rPr>
              <w:t>124</w:t>
            </w:r>
          </w:p>
        </w:tc>
      </w:tr>
      <w:tr w:rsidR="006D2AF2" w:rsidRPr="00F0682F" w14:paraId="0A465500" w14:textId="77777777" w:rsidTr="00A10DEA">
        <w:trPr>
          <w:trHeight w:val="275"/>
        </w:trPr>
        <w:tc>
          <w:tcPr>
            <w:tcW w:w="1302" w:type="dxa"/>
          </w:tcPr>
          <w:p w14:paraId="233E3B5E" w14:textId="77777777" w:rsidR="006D2AF2" w:rsidRPr="00F0682F" w:rsidRDefault="006D2AF2" w:rsidP="00A10DEA">
            <w:pPr>
              <w:pStyle w:val="TableParagraph"/>
              <w:ind w:left="112"/>
              <w:rPr>
                <w:sz w:val="24"/>
                <w:szCs w:val="24"/>
                <w:lang w:val="en-US"/>
              </w:rPr>
            </w:pPr>
            <w:r w:rsidRPr="00F0682F">
              <w:rPr>
                <w:sz w:val="24"/>
                <w:szCs w:val="24"/>
                <w:lang w:val="en-US"/>
              </w:rPr>
              <w:t>CR</w:t>
            </w:r>
          </w:p>
        </w:tc>
        <w:tc>
          <w:tcPr>
            <w:tcW w:w="778" w:type="dxa"/>
          </w:tcPr>
          <w:p w14:paraId="257848D0" w14:textId="77777777" w:rsidR="006D2AF2" w:rsidRPr="00F0682F" w:rsidRDefault="006D2AF2" w:rsidP="00A10DEA">
            <w:pPr>
              <w:pStyle w:val="TableParagraph"/>
              <w:ind w:left="269"/>
              <w:rPr>
                <w:sz w:val="24"/>
                <w:szCs w:val="24"/>
                <w:lang w:val="en-US"/>
              </w:rPr>
            </w:pPr>
            <w:r w:rsidRPr="00F0682F">
              <w:rPr>
                <w:sz w:val="24"/>
                <w:szCs w:val="24"/>
                <w:lang w:val="en-US"/>
              </w:rPr>
              <w:t>66</w:t>
            </w:r>
          </w:p>
        </w:tc>
        <w:tc>
          <w:tcPr>
            <w:tcW w:w="1397" w:type="dxa"/>
          </w:tcPr>
          <w:p w14:paraId="128E07DE" w14:textId="77777777" w:rsidR="006D2AF2" w:rsidRPr="00F0682F" w:rsidRDefault="006D2AF2" w:rsidP="00A10DEA">
            <w:pPr>
              <w:pStyle w:val="TableParagraph"/>
              <w:ind w:left="247" w:right="147"/>
              <w:jc w:val="right"/>
              <w:rPr>
                <w:sz w:val="24"/>
                <w:szCs w:val="24"/>
              </w:rPr>
            </w:pPr>
            <w:r w:rsidRPr="00F0682F">
              <w:rPr>
                <w:sz w:val="24"/>
                <w:szCs w:val="24"/>
              </w:rPr>
              <w:t>0,298</w:t>
            </w:r>
          </w:p>
        </w:tc>
        <w:tc>
          <w:tcPr>
            <w:tcW w:w="1329" w:type="dxa"/>
          </w:tcPr>
          <w:p w14:paraId="6DD07AE1" w14:textId="77777777" w:rsidR="006D2AF2" w:rsidRPr="00F0682F" w:rsidRDefault="006D2AF2" w:rsidP="00A10DEA">
            <w:pPr>
              <w:pStyle w:val="TableParagraph"/>
              <w:ind w:left="147" w:right="139"/>
              <w:jc w:val="right"/>
              <w:rPr>
                <w:sz w:val="24"/>
                <w:szCs w:val="24"/>
              </w:rPr>
            </w:pPr>
            <w:bookmarkStart w:id="3" w:name="_Hlk104322160"/>
            <w:r w:rsidRPr="00F0682F">
              <w:rPr>
                <w:sz w:val="24"/>
                <w:szCs w:val="24"/>
              </w:rPr>
              <w:t>8,</w:t>
            </w:r>
            <w:bookmarkEnd w:id="3"/>
            <w:r w:rsidRPr="00F0682F">
              <w:rPr>
                <w:sz w:val="24"/>
                <w:szCs w:val="24"/>
              </w:rPr>
              <w:t>748</w:t>
            </w:r>
          </w:p>
        </w:tc>
        <w:tc>
          <w:tcPr>
            <w:tcW w:w="1205" w:type="dxa"/>
          </w:tcPr>
          <w:p w14:paraId="72070285" w14:textId="77777777" w:rsidR="006D2AF2" w:rsidRPr="00F0682F" w:rsidRDefault="006D2AF2" w:rsidP="00A10DEA">
            <w:pPr>
              <w:pStyle w:val="TableParagraph"/>
              <w:ind w:left="129" w:right="115"/>
              <w:jc w:val="right"/>
              <w:rPr>
                <w:sz w:val="24"/>
                <w:szCs w:val="24"/>
              </w:rPr>
            </w:pPr>
            <w:bookmarkStart w:id="4" w:name="_Hlk104322223"/>
            <w:r w:rsidRPr="00F0682F">
              <w:rPr>
                <w:sz w:val="24"/>
                <w:szCs w:val="24"/>
              </w:rPr>
              <w:t>3</w:t>
            </w:r>
            <w:bookmarkEnd w:id="4"/>
            <w:r w:rsidRPr="00F0682F">
              <w:rPr>
                <w:sz w:val="24"/>
                <w:szCs w:val="24"/>
              </w:rPr>
              <w:t>,078</w:t>
            </w:r>
          </w:p>
        </w:tc>
        <w:tc>
          <w:tcPr>
            <w:tcW w:w="1273" w:type="dxa"/>
          </w:tcPr>
          <w:p w14:paraId="11F8A107" w14:textId="77777777" w:rsidR="006D2AF2" w:rsidRPr="00F0682F" w:rsidRDefault="006D2AF2" w:rsidP="00A10DEA">
            <w:pPr>
              <w:pStyle w:val="TableParagraph"/>
              <w:ind w:left="130"/>
              <w:jc w:val="right"/>
              <w:rPr>
                <w:sz w:val="24"/>
                <w:szCs w:val="24"/>
              </w:rPr>
            </w:pPr>
            <w:r w:rsidRPr="00F0682F">
              <w:rPr>
                <w:sz w:val="24"/>
                <w:szCs w:val="24"/>
              </w:rPr>
              <w:t>2,052</w:t>
            </w:r>
          </w:p>
        </w:tc>
      </w:tr>
      <w:tr w:rsidR="006D2AF2" w:rsidRPr="00F0682F" w14:paraId="019FE137" w14:textId="77777777" w:rsidTr="00A10DEA">
        <w:trPr>
          <w:trHeight w:val="276"/>
        </w:trPr>
        <w:tc>
          <w:tcPr>
            <w:tcW w:w="1302" w:type="dxa"/>
          </w:tcPr>
          <w:p w14:paraId="4737911B" w14:textId="77777777" w:rsidR="006D2AF2" w:rsidRPr="00F0682F" w:rsidRDefault="006D2AF2" w:rsidP="00A10DEA">
            <w:pPr>
              <w:pStyle w:val="TableParagraph"/>
              <w:ind w:left="112"/>
              <w:rPr>
                <w:sz w:val="24"/>
                <w:szCs w:val="24"/>
                <w:lang w:val="en-US"/>
              </w:rPr>
            </w:pPr>
            <w:r w:rsidRPr="00F0682F">
              <w:rPr>
                <w:sz w:val="24"/>
                <w:szCs w:val="24"/>
                <w:lang w:val="en-US"/>
              </w:rPr>
              <w:t>DAR</w:t>
            </w:r>
          </w:p>
        </w:tc>
        <w:tc>
          <w:tcPr>
            <w:tcW w:w="778" w:type="dxa"/>
          </w:tcPr>
          <w:p w14:paraId="39C683D0" w14:textId="77777777" w:rsidR="006D2AF2" w:rsidRPr="00F0682F" w:rsidRDefault="006D2AF2" w:rsidP="00A10DEA">
            <w:pPr>
              <w:pStyle w:val="TableParagraph"/>
              <w:ind w:left="269"/>
              <w:rPr>
                <w:sz w:val="24"/>
                <w:szCs w:val="24"/>
                <w:lang w:val="en-US"/>
              </w:rPr>
            </w:pPr>
            <w:r w:rsidRPr="00F0682F">
              <w:rPr>
                <w:sz w:val="24"/>
                <w:szCs w:val="24"/>
                <w:lang w:val="en-US"/>
              </w:rPr>
              <w:t>66</w:t>
            </w:r>
          </w:p>
        </w:tc>
        <w:tc>
          <w:tcPr>
            <w:tcW w:w="1397" w:type="dxa"/>
          </w:tcPr>
          <w:p w14:paraId="0FBB9596" w14:textId="77777777" w:rsidR="006D2AF2" w:rsidRPr="00F0682F" w:rsidRDefault="006D2AF2" w:rsidP="00A10DEA">
            <w:pPr>
              <w:pStyle w:val="TableParagraph"/>
              <w:ind w:left="247" w:right="147"/>
              <w:jc w:val="right"/>
              <w:rPr>
                <w:sz w:val="24"/>
                <w:szCs w:val="24"/>
              </w:rPr>
            </w:pPr>
            <w:bookmarkStart w:id="5" w:name="_Hlk104322275"/>
            <w:r w:rsidRPr="00F0682F">
              <w:rPr>
                <w:sz w:val="24"/>
                <w:szCs w:val="24"/>
              </w:rPr>
              <w:t>0,</w:t>
            </w:r>
            <w:bookmarkEnd w:id="5"/>
            <w:r w:rsidRPr="00F0682F">
              <w:rPr>
                <w:sz w:val="24"/>
                <w:szCs w:val="24"/>
              </w:rPr>
              <w:t>083</w:t>
            </w:r>
          </w:p>
        </w:tc>
        <w:tc>
          <w:tcPr>
            <w:tcW w:w="1329" w:type="dxa"/>
          </w:tcPr>
          <w:p w14:paraId="2A6658DC" w14:textId="77777777" w:rsidR="006D2AF2" w:rsidRPr="00F0682F" w:rsidRDefault="006D2AF2" w:rsidP="00A10DEA">
            <w:pPr>
              <w:pStyle w:val="TableParagraph"/>
              <w:ind w:left="147" w:right="139"/>
              <w:jc w:val="right"/>
              <w:rPr>
                <w:sz w:val="24"/>
                <w:szCs w:val="24"/>
              </w:rPr>
            </w:pPr>
            <w:r w:rsidRPr="00F0682F">
              <w:rPr>
                <w:sz w:val="24"/>
                <w:szCs w:val="24"/>
              </w:rPr>
              <w:t>0,714</w:t>
            </w:r>
          </w:p>
        </w:tc>
        <w:tc>
          <w:tcPr>
            <w:tcW w:w="1205" w:type="dxa"/>
          </w:tcPr>
          <w:p w14:paraId="336BC0B2" w14:textId="77777777" w:rsidR="006D2AF2" w:rsidRPr="00F0682F" w:rsidRDefault="006D2AF2" w:rsidP="00A10DEA">
            <w:pPr>
              <w:pStyle w:val="TableParagraph"/>
              <w:ind w:left="129" w:right="115"/>
              <w:jc w:val="right"/>
              <w:rPr>
                <w:sz w:val="24"/>
                <w:szCs w:val="24"/>
              </w:rPr>
            </w:pPr>
            <w:r w:rsidRPr="00F0682F">
              <w:rPr>
                <w:sz w:val="24"/>
                <w:szCs w:val="24"/>
              </w:rPr>
              <w:t>0,350</w:t>
            </w:r>
          </w:p>
        </w:tc>
        <w:tc>
          <w:tcPr>
            <w:tcW w:w="1273" w:type="dxa"/>
          </w:tcPr>
          <w:p w14:paraId="47CC3F29" w14:textId="77777777" w:rsidR="006D2AF2" w:rsidRPr="00F0682F" w:rsidRDefault="006D2AF2" w:rsidP="00A10DEA">
            <w:pPr>
              <w:pStyle w:val="TableParagraph"/>
              <w:ind w:left="130"/>
              <w:jc w:val="right"/>
              <w:rPr>
                <w:sz w:val="24"/>
                <w:szCs w:val="24"/>
              </w:rPr>
            </w:pPr>
            <w:r w:rsidRPr="00F0682F">
              <w:rPr>
                <w:sz w:val="24"/>
                <w:szCs w:val="24"/>
              </w:rPr>
              <w:t>0,166</w:t>
            </w:r>
          </w:p>
        </w:tc>
      </w:tr>
      <w:tr w:rsidR="006D2AF2" w:rsidRPr="00F0682F" w14:paraId="3C0A8A31" w14:textId="77777777" w:rsidTr="00A10DEA">
        <w:trPr>
          <w:trHeight w:val="275"/>
        </w:trPr>
        <w:tc>
          <w:tcPr>
            <w:tcW w:w="1302" w:type="dxa"/>
          </w:tcPr>
          <w:p w14:paraId="6D8F9BDF" w14:textId="77777777" w:rsidR="006D2AF2" w:rsidRPr="00F0682F" w:rsidRDefault="006D2AF2" w:rsidP="00A10DEA">
            <w:pPr>
              <w:pStyle w:val="TableParagraph"/>
              <w:ind w:left="112"/>
              <w:rPr>
                <w:sz w:val="24"/>
                <w:szCs w:val="24"/>
                <w:lang w:val="en-US"/>
              </w:rPr>
            </w:pPr>
            <w:r w:rsidRPr="00F0682F">
              <w:rPr>
                <w:sz w:val="24"/>
                <w:szCs w:val="24"/>
                <w:lang w:val="en-US"/>
              </w:rPr>
              <w:t>VAIC</w:t>
            </w:r>
          </w:p>
        </w:tc>
        <w:tc>
          <w:tcPr>
            <w:tcW w:w="778" w:type="dxa"/>
          </w:tcPr>
          <w:p w14:paraId="395BB040" w14:textId="77777777" w:rsidR="006D2AF2" w:rsidRPr="00F0682F" w:rsidRDefault="006D2AF2" w:rsidP="00A10DEA">
            <w:pPr>
              <w:pStyle w:val="TableParagraph"/>
              <w:ind w:left="269"/>
              <w:rPr>
                <w:sz w:val="24"/>
                <w:szCs w:val="24"/>
                <w:lang w:val="en-US"/>
              </w:rPr>
            </w:pPr>
            <w:r w:rsidRPr="00F0682F">
              <w:rPr>
                <w:sz w:val="24"/>
                <w:szCs w:val="24"/>
                <w:lang w:val="en-US"/>
              </w:rPr>
              <w:t>66</w:t>
            </w:r>
          </w:p>
        </w:tc>
        <w:tc>
          <w:tcPr>
            <w:tcW w:w="1397" w:type="dxa"/>
          </w:tcPr>
          <w:p w14:paraId="0D855E65" w14:textId="77777777" w:rsidR="006D2AF2" w:rsidRPr="00F0682F" w:rsidRDefault="006D2AF2" w:rsidP="00A10DEA">
            <w:pPr>
              <w:pStyle w:val="TableParagraph"/>
              <w:ind w:left="247" w:right="147"/>
              <w:jc w:val="right"/>
              <w:rPr>
                <w:sz w:val="24"/>
                <w:szCs w:val="24"/>
              </w:rPr>
            </w:pPr>
            <w:bookmarkStart w:id="6" w:name="_Hlk104322933"/>
            <w:r w:rsidRPr="00F0682F">
              <w:rPr>
                <w:sz w:val="24"/>
                <w:szCs w:val="24"/>
              </w:rPr>
              <w:t>1,</w:t>
            </w:r>
            <w:bookmarkEnd w:id="6"/>
            <w:r w:rsidRPr="00F0682F">
              <w:rPr>
                <w:sz w:val="24"/>
                <w:szCs w:val="24"/>
              </w:rPr>
              <w:t>532</w:t>
            </w:r>
          </w:p>
        </w:tc>
        <w:tc>
          <w:tcPr>
            <w:tcW w:w="1329" w:type="dxa"/>
          </w:tcPr>
          <w:p w14:paraId="508305AF" w14:textId="77777777" w:rsidR="006D2AF2" w:rsidRPr="00F0682F" w:rsidRDefault="006D2AF2" w:rsidP="00A10DEA">
            <w:pPr>
              <w:pStyle w:val="TableParagraph"/>
              <w:ind w:left="147" w:right="139"/>
              <w:jc w:val="right"/>
              <w:rPr>
                <w:sz w:val="24"/>
                <w:szCs w:val="24"/>
              </w:rPr>
            </w:pPr>
            <w:r w:rsidRPr="00F0682F">
              <w:rPr>
                <w:sz w:val="24"/>
                <w:szCs w:val="24"/>
              </w:rPr>
              <w:t>14,891</w:t>
            </w:r>
          </w:p>
        </w:tc>
        <w:tc>
          <w:tcPr>
            <w:tcW w:w="1205" w:type="dxa"/>
          </w:tcPr>
          <w:p w14:paraId="4D7DDEDE" w14:textId="77777777" w:rsidR="006D2AF2" w:rsidRPr="00F0682F" w:rsidRDefault="006D2AF2" w:rsidP="00A10DEA">
            <w:pPr>
              <w:pStyle w:val="TableParagraph"/>
              <w:ind w:left="139" w:right="105"/>
              <w:jc w:val="right"/>
              <w:rPr>
                <w:sz w:val="24"/>
                <w:szCs w:val="24"/>
              </w:rPr>
            </w:pPr>
            <w:bookmarkStart w:id="7" w:name="_Hlk104323131"/>
            <w:r w:rsidRPr="00F0682F">
              <w:rPr>
                <w:sz w:val="24"/>
                <w:szCs w:val="24"/>
              </w:rPr>
              <w:t>5</w:t>
            </w:r>
            <w:bookmarkEnd w:id="7"/>
            <w:r w:rsidRPr="00F0682F">
              <w:rPr>
                <w:sz w:val="24"/>
                <w:szCs w:val="24"/>
              </w:rPr>
              <w:t>,060</w:t>
            </w:r>
          </w:p>
        </w:tc>
        <w:tc>
          <w:tcPr>
            <w:tcW w:w="1273" w:type="dxa"/>
          </w:tcPr>
          <w:p w14:paraId="70DBD1BF" w14:textId="77777777" w:rsidR="006D2AF2" w:rsidRPr="00F0682F" w:rsidRDefault="006D2AF2" w:rsidP="00A10DEA">
            <w:pPr>
              <w:pStyle w:val="TableParagraph"/>
              <w:ind w:left="130"/>
              <w:jc w:val="right"/>
              <w:rPr>
                <w:sz w:val="24"/>
                <w:szCs w:val="24"/>
              </w:rPr>
            </w:pPr>
            <w:bookmarkStart w:id="8" w:name="_Hlk104323152"/>
            <w:r w:rsidRPr="00F0682F">
              <w:rPr>
                <w:sz w:val="24"/>
                <w:szCs w:val="24"/>
              </w:rPr>
              <w:t>2</w:t>
            </w:r>
            <w:bookmarkEnd w:id="8"/>
            <w:r w:rsidRPr="00F0682F">
              <w:rPr>
                <w:sz w:val="24"/>
                <w:szCs w:val="24"/>
              </w:rPr>
              <w:t>,908</w:t>
            </w:r>
          </w:p>
        </w:tc>
      </w:tr>
      <w:tr w:rsidR="006D2AF2" w:rsidRPr="00F0682F" w14:paraId="29112026" w14:textId="77777777" w:rsidTr="00A10DEA">
        <w:trPr>
          <w:trHeight w:val="270"/>
        </w:trPr>
        <w:tc>
          <w:tcPr>
            <w:tcW w:w="1302" w:type="dxa"/>
            <w:tcBorders>
              <w:bottom w:val="single" w:sz="4" w:space="0" w:color="000000"/>
            </w:tcBorders>
          </w:tcPr>
          <w:p w14:paraId="7B6452BD" w14:textId="77777777" w:rsidR="006D2AF2" w:rsidRPr="00F0682F" w:rsidRDefault="006D2AF2" w:rsidP="00A10DEA">
            <w:pPr>
              <w:pStyle w:val="TableParagraph"/>
              <w:ind w:left="112"/>
              <w:rPr>
                <w:sz w:val="24"/>
                <w:szCs w:val="24"/>
                <w:lang w:val="en-US"/>
              </w:rPr>
            </w:pPr>
            <w:r w:rsidRPr="00F0682F">
              <w:rPr>
                <w:sz w:val="24"/>
                <w:szCs w:val="24"/>
                <w:lang w:val="en-US"/>
              </w:rPr>
              <w:t>DPR</w:t>
            </w:r>
          </w:p>
        </w:tc>
        <w:tc>
          <w:tcPr>
            <w:tcW w:w="778" w:type="dxa"/>
            <w:tcBorders>
              <w:bottom w:val="single" w:sz="4" w:space="0" w:color="000000"/>
            </w:tcBorders>
          </w:tcPr>
          <w:p w14:paraId="52C70DCD" w14:textId="77777777" w:rsidR="006D2AF2" w:rsidRPr="00F0682F" w:rsidRDefault="006D2AF2" w:rsidP="00A10DEA">
            <w:pPr>
              <w:pStyle w:val="TableParagraph"/>
              <w:ind w:left="269"/>
              <w:rPr>
                <w:sz w:val="24"/>
                <w:szCs w:val="24"/>
                <w:lang w:val="en-US"/>
              </w:rPr>
            </w:pPr>
            <w:r w:rsidRPr="00F0682F">
              <w:rPr>
                <w:sz w:val="24"/>
                <w:szCs w:val="24"/>
                <w:lang w:val="en-US"/>
              </w:rPr>
              <w:t>66</w:t>
            </w:r>
          </w:p>
        </w:tc>
        <w:tc>
          <w:tcPr>
            <w:tcW w:w="1397" w:type="dxa"/>
            <w:tcBorders>
              <w:bottom w:val="single" w:sz="4" w:space="0" w:color="000000"/>
            </w:tcBorders>
          </w:tcPr>
          <w:p w14:paraId="3969561A" w14:textId="77777777" w:rsidR="006D2AF2" w:rsidRPr="00F0682F" w:rsidRDefault="006D2AF2" w:rsidP="00A10DEA">
            <w:pPr>
              <w:pStyle w:val="TableParagraph"/>
              <w:ind w:left="143" w:right="148"/>
              <w:jc w:val="right"/>
              <w:rPr>
                <w:sz w:val="24"/>
                <w:szCs w:val="24"/>
              </w:rPr>
            </w:pPr>
            <w:r w:rsidRPr="00F0682F">
              <w:rPr>
                <w:sz w:val="24"/>
                <w:szCs w:val="24"/>
              </w:rPr>
              <w:t>0,018</w:t>
            </w:r>
          </w:p>
        </w:tc>
        <w:tc>
          <w:tcPr>
            <w:tcW w:w="1329" w:type="dxa"/>
            <w:tcBorders>
              <w:bottom w:val="single" w:sz="4" w:space="0" w:color="000000"/>
            </w:tcBorders>
          </w:tcPr>
          <w:p w14:paraId="1918FB1D" w14:textId="77777777" w:rsidR="006D2AF2" w:rsidRPr="00F0682F" w:rsidRDefault="006D2AF2" w:rsidP="00A10DEA">
            <w:pPr>
              <w:pStyle w:val="TableParagraph"/>
              <w:ind w:left="147" w:right="139"/>
              <w:jc w:val="right"/>
              <w:rPr>
                <w:sz w:val="24"/>
                <w:szCs w:val="24"/>
              </w:rPr>
            </w:pPr>
            <w:r w:rsidRPr="00F0682F">
              <w:rPr>
                <w:sz w:val="24"/>
                <w:szCs w:val="24"/>
              </w:rPr>
              <w:t>5,246</w:t>
            </w:r>
          </w:p>
        </w:tc>
        <w:tc>
          <w:tcPr>
            <w:tcW w:w="1205" w:type="dxa"/>
            <w:tcBorders>
              <w:bottom w:val="single" w:sz="4" w:space="0" w:color="000000"/>
            </w:tcBorders>
          </w:tcPr>
          <w:p w14:paraId="6E664EF0" w14:textId="77777777" w:rsidR="006D2AF2" w:rsidRPr="00F0682F" w:rsidRDefault="006D2AF2" w:rsidP="00A10DEA">
            <w:pPr>
              <w:pStyle w:val="TableParagraph"/>
              <w:ind w:left="139" w:right="105"/>
              <w:jc w:val="right"/>
              <w:rPr>
                <w:sz w:val="24"/>
                <w:szCs w:val="24"/>
              </w:rPr>
            </w:pPr>
            <w:r w:rsidRPr="00F0682F">
              <w:rPr>
                <w:sz w:val="24"/>
                <w:szCs w:val="24"/>
              </w:rPr>
              <w:t>0,565</w:t>
            </w:r>
          </w:p>
        </w:tc>
        <w:tc>
          <w:tcPr>
            <w:tcW w:w="1273" w:type="dxa"/>
            <w:tcBorders>
              <w:bottom w:val="single" w:sz="4" w:space="0" w:color="000000"/>
            </w:tcBorders>
          </w:tcPr>
          <w:p w14:paraId="65EF515C" w14:textId="77777777" w:rsidR="006D2AF2" w:rsidRPr="00F0682F" w:rsidRDefault="006D2AF2" w:rsidP="00A10DEA">
            <w:pPr>
              <w:pStyle w:val="TableParagraph"/>
              <w:ind w:left="130"/>
              <w:jc w:val="right"/>
              <w:rPr>
                <w:sz w:val="24"/>
                <w:szCs w:val="24"/>
              </w:rPr>
            </w:pPr>
            <w:r w:rsidRPr="00F0682F">
              <w:rPr>
                <w:sz w:val="24"/>
                <w:szCs w:val="24"/>
              </w:rPr>
              <w:t>0,704</w:t>
            </w:r>
          </w:p>
        </w:tc>
      </w:tr>
    </w:tbl>
    <w:p w14:paraId="110B1099" w14:textId="77777777" w:rsidR="006D2AF2" w:rsidRDefault="006D2AF2" w:rsidP="006D2AF2">
      <w:pPr>
        <w:spacing w:line="259" w:lineRule="auto"/>
      </w:pPr>
    </w:p>
    <w:p w14:paraId="76CAFCFE" w14:textId="64588EFD" w:rsidR="006D2AF2" w:rsidRDefault="006D2AF2" w:rsidP="00C40A65">
      <w:pPr>
        <w:pStyle w:val="BodyText"/>
        <w:jc w:val="both"/>
      </w:pPr>
    </w:p>
    <w:p w14:paraId="79907798" w14:textId="067A302C" w:rsidR="009B7B92" w:rsidRDefault="006D2AF2" w:rsidP="006D2AF2">
      <w:pPr>
        <w:pStyle w:val="BodyText"/>
        <w:ind w:left="2160" w:firstLine="720"/>
        <w:jc w:val="both"/>
        <w:rPr>
          <w:b/>
          <w:bCs/>
        </w:rPr>
      </w:pPr>
      <w:r>
        <w:rPr>
          <w:b/>
          <w:bCs/>
          <w:lang w:val="en-US"/>
        </w:rPr>
        <w:t xml:space="preserve">Table 2. </w:t>
      </w:r>
      <w:r w:rsidR="00C40A65" w:rsidRPr="00944C9C">
        <w:rPr>
          <w:b/>
          <w:bCs/>
        </w:rPr>
        <w:t>Multiple Regression Test</w:t>
      </w:r>
    </w:p>
    <w:tbl>
      <w:tblPr>
        <w:tblW w:w="0" w:type="auto"/>
        <w:tblInd w:w="829" w:type="dxa"/>
        <w:tblLayout w:type="fixed"/>
        <w:tblCellMar>
          <w:left w:w="0" w:type="dxa"/>
          <w:right w:w="0" w:type="dxa"/>
        </w:tblCellMar>
        <w:tblLook w:val="04A0" w:firstRow="1" w:lastRow="0" w:firstColumn="1" w:lastColumn="0" w:noHBand="0" w:noVBand="1"/>
      </w:tblPr>
      <w:tblGrid>
        <w:gridCol w:w="392"/>
        <w:gridCol w:w="1299"/>
        <w:gridCol w:w="1635"/>
        <w:gridCol w:w="1282"/>
        <w:gridCol w:w="1362"/>
        <w:gridCol w:w="940"/>
        <w:gridCol w:w="715"/>
      </w:tblGrid>
      <w:tr w:rsidR="006D2AF2" w:rsidRPr="00517959" w14:paraId="640D5E15" w14:textId="77777777" w:rsidTr="00A10DEA">
        <w:trPr>
          <w:trHeight w:val="557"/>
        </w:trPr>
        <w:tc>
          <w:tcPr>
            <w:tcW w:w="1691" w:type="dxa"/>
            <w:gridSpan w:val="2"/>
            <w:tcBorders>
              <w:top w:val="single" w:sz="4" w:space="0" w:color="000000"/>
            </w:tcBorders>
          </w:tcPr>
          <w:p w14:paraId="3CADABC3" w14:textId="77777777" w:rsidR="006D2AF2" w:rsidRPr="00517959" w:rsidRDefault="006D2AF2" w:rsidP="00A10DEA">
            <w:pPr>
              <w:pStyle w:val="TableParagraph"/>
              <w:ind w:left="66"/>
              <w:rPr>
                <w:sz w:val="24"/>
                <w:szCs w:val="24"/>
              </w:rPr>
            </w:pPr>
            <w:r w:rsidRPr="00517959">
              <w:rPr>
                <w:sz w:val="24"/>
                <w:szCs w:val="24"/>
              </w:rPr>
              <w:t>Model</w:t>
            </w:r>
          </w:p>
        </w:tc>
        <w:tc>
          <w:tcPr>
            <w:tcW w:w="1635" w:type="dxa"/>
            <w:tcBorders>
              <w:top w:val="single" w:sz="4" w:space="0" w:color="000000"/>
            </w:tcBorders>
          </w:tcPr>
          <w:p w14:paraId="6DA33400" w14:textId="77777777" w:rsidR="006D2AF2" w:rsidRPr="00517959" w:rsidRDefault="006D2AF2" w:rsidP="00A10DEA">
            <w:pPr>
              <w:pStyle w:val="TableParagraph"/>
              <w:ind w:left="81" w:right="27"/>
              <w:rPr>
                <w:sz w:val="24"/>
                <w:szCs w:val="24"/>
              </w:rPr>
            </w:pPr>
            <w:r w:rsidRPr="00517959">
              <w:rPr>
                <w:sz w:val="24"/>
                <w:szCs w:val="24"/>
              </w:rPr>
              <w:t>Unstandardized Coefficients</w:t>
            </w:r>
          </w:p>
        </w:tc>
        <w:tc>
          <w:tcPr>
            <w:tcW w:w="2644" w:type="dxa"/>
            <w:gridSpan w:val="2"/>
            <w:tcBorders>
              <w:top w:val="single" w:sz="4" w:space="0" w:color="000000"/>
            </w:tcBorders>
          </w:tcPr>
          <w:p w14:paraId="290ECDE0" w14:textId="77777777" w:rsidR="006D2AF2" w:rsidRPr="00517959" w:rsidRDefault="006D2AF2" w:rsidP="00A10DEA">
            <w:pPr>
              <w:pStyle w:val="TableParagraph"/>
              <w:ind w:left="1233" w:right="174" w:hanging="36"/>
              <w:rPr>
                <w:sz w:val="24"/>
                <w:szCs w:val="24"/>
              </w:rPr>
            </w:pPr>
            <w:r w:rsidRPr="00517959">
              <w:rPr>
                <w:sz w:val="24"/>
                <w:szCs w:val="24"/>
              </w:rPr>
              <w:t>Standardized Coefficients</w:t>
            </w:r>
          </w:p>
        </w:tc>
        <w:tc>
          <w:tcPr>
            <w:tcW w:w="940" w:type="dxa"/>
            <w:tcBorders>
              <w:top w:val="single" w:sz="4" w:space="0" w:color="000000"/>
            </w:tcBorders>
          </w:tcPr>
          <w:p w14:paraId="37FCD72D" w14:textId="77777777" w:rsidR="006D2AF2" w:rsidRPr="00517959" w:rsidRDefault="006D2AF2" w:rsidP="00A10DEA">
            <w:pPr>
              <w:pStyle w:val="TableParagraph"/>
              <w:ind w:left="257"/>
              <w:rPr>
                <w:sz w:val="24"/>
                <w:szCs w:val="24"/>
              </w:rPr>
            </w:pPr>
            <w:r w:rsidRPr="00517959">
              <w:rPr>
                <w:sz w:val="24"/>
                <w:szCs w:val="24"/>
              </w:rPr>
              <w:t>t</w:t>
            </w:r>
          </w:p>
        </w:tc>
        <w:tc>
          <w:tcPr>
            <w:tcW w:w="715" w:type="dxa"/>
            <w:tcBorders>
              <w:top w:val="single" w:sz="4" w:space="0" w:color="000000"/>
            </w:tcBorders>
          </w:tcPr>
          <w:p w14:paraId="79D7BA27" w14:textId="77777777" w:rsidR="006D2AF2" w:rsidRPr="00517959" w:rsidRDefault="006D2AF2" w:rsidP="00A10DEA">
            <w:pPr>
              <w:pStyle w:val="TableParagraph"/>
              <w:ind w:right="69"/>
              <w:jc w:val="right"/>
              <w:rPr>
                <w:sz w:val="24"/>
                <w:szCs w:val="24"/>
              </w:rPr>
            </w:pPr>
            <w:r w:rsidRPr="00517959">
              <w:rPr>
                <w:w w:val="95"/>
                <w:sz w:val="24"/>
                <w:szCs w:val="24"/>
              </w:rPr>
              <w:t>Sig.</w:t>
            </w:r>
          </w:p>
        </w:tc>
      </w:tr>
      <w:tr w:rsidR="006D2AF2" w:rsidRPr="00517959" w14:paraId="689ACE0F" w14:textId="77777777" w:rsidTr="00A10DEA">
        <w:trPr>
          <w:trHeight w:val="270"/>
        </w:trPr>
        <w:tc>
          <w:tcPr>
            <w:tcW w:w="392" w:type="dxa"/>
            <w:tcBorders>
              <w:bottom w:val="single" w:sz="4" w:space="0" w:color="000000"/>
            </w:tcBorders>
          </w:tcPr>
          <w:p w14:paraId="6FDF2577" w14:textId="77777777" w:rsidR="006D2AF2" w:rsidRPr="00517959" w:rsidRDefault="006D2AF2" w:rsidP="00A10DEA">
            <w:pPr>
              <w:pStyle w:val="TableParagraph"/>
              <w:rPr>
                <w:sz w:val="24"/>
                <w:szCs w:val="24"/>
              </w:rPr>
            </w:pPr>
          </w:p>
        </w:tc>
        <w:tc>
          <w:tcPr>
            <w:tcW w:w="1299" w:type="dxa"/>
            <w:tcBorders>
              <w:bottom w:val="single" w:sz="4" w:space="0" w:color="000000"/>
            </w:tcBorders>
          </w:tcPr>
          <w:p w14:paraId="5EAD3E44" w14:textId="77777777" w:rsidR="006D2AF2" w:rsidRPr="00517959" w:rsidRDefault="006D2AF2" w:rsidP="00A10DEA">
            <w:pPr>
              <w:pStyle w:val="TableParagraph"/>
              <w:rPr>
                <w:sz w:val="24"/>
                <w:szCs w:val="24"/>
              </w:rPr>
            </w:pPr>
          </w:p>
        </w:tc>
        <w:tc>
          <w:tcPr>
            <w:tcW w:w="1635" w:type="dxa"/>
            <w:tcBorders>
              <w:bottom w:val="single" w:sz="4" w:space="0" w:color="000000"/>
            </w:tcBorders>
          </w:tcPr>
          <w:p w14:paraId="373A903E" w14:textId="77777777" w:rsidR="006D2AF2" w:rsidRPr="00517959" w:rsidRDefault="006D2AF2" w:rsidP="00A10DEA">
            <w:pPr>
              <w:pStyle w:val="TableParagraph"/>
              <w:ind w:right="177"/>
              <w:jc w:val="center"/>
              <w:rPr>
                <w:sz w:val="24"/>
                <w:szCs w:val="24"/>
              </w:rPr>
            </w:pPr>
            <w:r w:rsidRPr="00517959">
              <w:rPr>
                <w:sz w:val="24"/>
                <w:szCs w:val="24"/>
              </w:rPr>
              <w:t>B</w:t>
            </w:r>
          </w:p>
        </w:tc>
        <w:tc>
          <w:tcPr>
            <w:tcW w:w="1282" w:type="dxa"/>
            <w:tcBorders>
              <w:bottom w:val="single" w:sz="4" w:space="0" w:color="000000"/>
            </w:tcBorders>
          </w:tcPr>
          <w:p w14:paraId="5CBC76AF" w14:textId="77777777" w:rsidR="006D2AF2" w:rsidRPr="00517959" w:rsidRDefault="006D2AF2" w:rsidP="00A10DEA">
            <w:pPr>
              <w:pStyle w:val="TableParagraph"/>
              <w:ind w:right="286"/>
              <w:jc w:val="right"/>
              <w:rPr>
                <w:sz w:val="24"/>
                <w:szCs w:val="24"/>
              </w:rPr>
            </w:pPr>
            <w:r w:rsidRPr="00517959">
              <w:rPr>
                <w:sz w:val="24"/>
                <w:szCs w:val="24"/>
              </w:rPr>
              <w:t>Std. Error</w:t>
            </w:r>
          </w:p>
        </w:tc>
        <w:tc>
          <w:tcPr>
            <w:tcW w:w="1362" w:type="dxa"/>
            <w:tcBorders>
              <w:bottom w:val="single" w:sz="4" w:space="0" w:color="000000"/>
            </w:tcBorders>
          </w:tcPr>
          <w:p w14:paraId="45220173" w14:textId="77777777" w:rsidR="006D2AF2" w:rsidRPr="00517959" w:rsidRDefault="006D2AF2" w:rsidP="00A10DEA">
            <w:pPr>
              <w:pStyle w:val="TableParagraph"/>
              <w:ind w:left="287"/>
              <w:rPr>
                <w:sz w:val="24"/>
                <w:szCs w:val="24"/>
              </w:rPr>
            </w:pPr>
            <w:r w:rsidRPr="00517959">
              <w:rPr>
                <w:sz w:val="24"/>
                <w:szCs w:val="24"/>
              </w:rPr>
              <w:t>Beta</w:t>
            </w:r>
          </w:p>
        </w:tc>
        <w:tc>
          <w:tcPr>
            <w:tcW w:w="940" w:type="dxa"/>
            <w:tcBorders>
              <w:bottom w:val="single" w:sz="4" w:space="0" w:color="000000"/>
            </w:tcBorders>
          </w:tcPr>
          <w:p w14:paraId="449E6581" w14:textId="77777777" w:rsidR="006D2AF2" w:rsidRPr="00517959" w:rsidRDefault="006D2AF2" w:rsidP="00A10DEA">
            <w:pPr>
              <w:pStyle w:val="TableParagraph"/>
              <w:rPr>
                <w:sz w:val="24"/>
                <w:szCs w:val="24"/>
              </w:rPr>
            </w:pPr>
          </w:p>
        </w:tc>
        <w:tc>
          <w:tcPr>
            <w:tcW w:w="715" w:type="dxa"/>
            <w:tcBorders>
              <w:bottom w:val="single" w:sz="4" w:space="0" w:color="000000"/>
            </w:tcBorders>
          </w:tcPr>
          <w:p w14:paraId="0BA8DFB5" w14:textId="77777777" w:rsidR="006D2AF2" w:rsidRPr="00517959" w:rsidRDefault="006D2AF2" w:rsidP="00A10DEA">
            <w:pPr>
              <w:pStyle w:val="TableParagraph"/>
              <w:rPr>
                <w:sz w:val="24"/>
                <w:szCs w:val="24"/>
              </w:rPr>
            </w:pPr>
          </w:p>
        </w:tc>
      </w:tr>
      <w:tr w:rsidR="006D2AF2" w:rsidRPr="00517959" w14:paraId="0A68D976" w14:textId="77777777" w:rsidTr="00A10DEA">
        <w:trPr>
          <w:trHeight w:val="281"/>
        </w:trPr>
        <w:tc>
          <w:tcPr>
            <w:tcW w:w="392" w:type="dxa"/>
            <w:tcBorders>
              <w:top w:val="single" w:sz="4" w:space="0" w:color="000000"/>
            </w:tcBorders>
          </w:tcPr>
          <w:p w14:paraId="15E01534" w14:textId="77777777" w:rsidR="006D2AF2" w:rsidRPr="00517959" w:rsidRDefault="006D2AF2" w:rsidP="00A10DEA">
            <w:pPr>
              <w:pStyle w:val="TableParagraph"/>
              <w:rPr>
                <w:sz w:val="24"/>
                <w:szCs w:val="24"/>
              </w:rPr>
            </w:pPr>
          </w:p>
        </w:tc>
        <w:tc>
          <w:tcPr>
            <w:tcW w:w="1299" w:type="dxa"/>
            <w:tcBorders>
              <w:top w:val="single" w:sz="4" w:space="0" w:color="000000"/>
            </w:tcBorders>
          </w:tcPr>
          <w:p w14:paraId="509A3A1D" w14:textId="77777777" w:rsidR="006D2AF2" w:rsidRPr="00517959" w:rsidRDefault="006D2AF2" w:rsidP="00A10DEA">
            <w:pPr>
              <w:pStyle w:val="TableParagraph"/>
              <w:ind w:left="204"/>
              <w:rPr>
                <w:sz w:val="24"/>
                <w:szCs w:val="24"/>
              </w:rPr>
            </w:pPr>
            <w:r w:rsidRPr="00517959">
              <w:rPr>
                <w:sz w:val="24"/>
                <w:szCs w:val="24"/>
              </w:rPr>
              <w:t>(Constant)</w:t>
            </w:r>
          </w:p>
        </w:tc>
        <w:tc>
          <w:tcPr>
            <w:tcW w:w="1635" w:type="dxa"/>
            <w:tcBorders>
              <w:top w:val="single" w:sz="4" w:space="0" w:color="000000"/>
            </w:tcBorders>
            <w:vAlign w:val="center"/>
          </w:tcPr>
          <w:p w14:paraId="47B45CA7" w14:textId="77777777" w:rsidR="006D2AF2" w:rsidRPr="00517959" w:rsidRDefault="006D2AF2" w:rsidP="00A10DEA">
            <w:pPr>
              <w:pStyle w:val="TableParagraph"/>
              <w:ind w:right="239"/>
              <w:jc w:val="right"/>
              <w:rPr>
                <w:sz w:val="24"/>
                <w:szCs w:val="24"/>
              </w:rPr>
            </w:pPr>
            <w:r w:rsidRPr="00517959">
              <w:rPr>
                <w:color w:val="000000"/>
                <w:sz w:val="24"/>
                <w:szCs w:val="24"/>
              </w:rPr>
              <w:t>0,088</w:t>
            </w:r>
          </w:p>
        </w:tc>
        <w:tc>
          <w:tcPr>
            <w:tcW w:w="1282" w:type="dxa"/>
            <w:tcBorders>
              <w:top w:val="single" w:sz="4" w:space="0" w:color="000000"/>
            </w:tcBorders>
            <w:vAlign w:val="center"/>
          </w:tcPr>
          <w:p w14:paraId="6D533EA5" w14:textId="77777777" w:rsidR="006D2AF2" w:rsidRPr="00517959" w:rsidRDefault="006D2AF2" w:rsidP="00A10DEA">
            <w:pPr>
              <w:pStyle w:val="TableParagraph"/>
              <w:ind w:right="298"/>
              <w:jc w:val="right"/>
              <w:rPr>
                <w:sz w:val="24"/>
                <w:szCs w:val="24"/>
              </w:rPr>
            </w:pPr>
            <w:r w:rsidRPr="00517959">
              <w:rPr>
                <w:color w:val="000000"/>
                <w:sz w:val="24"/>
                <w:szCs w:val="24"/>
              </w:rPr>
              <w:t>0,162</w:t>
            </w:r>
          </w:p>
        </w:tc>
        <w:tc>
          <w:tcPr>
            <w:tcW w:w="1362" w:type="dxa"/>
            <w:tcBorders>
              <w:top w:val="single" w:sz="4" w:space="0" w:color="000000"/>
            </w:tcBorders>
            <w:vAlign w:val="center"/>
          </w:tcPr>
          <w:p w14:paraId="2D9720D3" w14:textId="77777777" w:rsidR="006D2AF2" w:rsidRPr="00517959" w:rsidRDefault="006D2AF2" w:rsidP="00A10DEA">
            <w:pPr>
              <w:pStyle w:val="TableParagraph"/>
              <w:rPr>
                <w:sz w:val="24"/>
                <w:szCs w:val="24"/>
              </w:rPr>
            </w:pPr>
          </w:p>
        </w:tc>
        <w:tc>
          <w:tcPr>
            <w:tcW w:w="940" w:type="dxa"/>
            <w:tcBorders>
              <w:top w:val="single" w:sz="4" w:space="0" w:color="000000"/>
            </w:tcBorders>
            <w:vAlign w:val="center"/>
          </w:tcPr>
          <w:p w14:paraId="19D31340" w14:textId="77777777" w:rsidR="006D2AF2" w:rsidRPr="00517959" w:rsidRDefault="006D2AF2" w:rsidP="00A10DEA">
            <w:pPr>
              <w:pStyle w:val="TableParagraph"/>
              <w:ind w:right="120"/>
              <w:jc w:val="right"/>
              <w:rPr>
                <w:sz w:val="24"/>
                <w:szCs w:val="24"/>
              </w:rPr>
            </w:pPr>
            <w:r w:rsidRPr="00517959">
              <w:rPr>
                <w:color w:val="000000"/>
                <w:sz w:val="24"/>
                <w:szCs w:val="24"/>
              </w:rPr>
              <w:t>0,544</w:t>
            </w:r>
          </w:p>
        </w:tc>
        <w:tc>
          <w:tcPr>
            <w:tcW w:w="715" w:type="dxa"/>
            <w:tcBorders>
              <w:top w:val="single" w:sz="4" w:space="0" w:color="000000"/>
            </w:tcBorders>
            <w:vAlign w:val="center"/>
          </w:tcPr>
          <w:p w14:paraId="5196347F" w14:textId="77777777" w:rsidR="006D2AF2" w:rsidRPr="00517959" w:rsidRDefault="006D2AF2" w:rsidP="00A10DEA">
            <w:pPr>
              <w:pStyle w:val="TableParagraph"/>
              <w:ind w:right="55"/>
              <w:jc w:val="right"/>
              <w:rPr>
                <w:sz w:val="24"/>
                <w:szCs w:val="24"/>
              </w:rPr>
            </w:pPr>
            <w:r w:rsidRPr="00517959">
              <w:rPr>
                <w:color w:val="000000"/>
                <w:sz w:val="24"/>
                <w:szCs w:val="24"/>
              </w:rPr>
              <w:t>0,588</w:t>
            </w:r>
          </w:p>
        </w:tc>
      </w:tr>
      <w:tr w:rsidR="006D2AF2" w:rsidRPr="00517959" w14:paraId="0847943C" w14:textId="77777777" w:rsidTr="00A10DEA">
        <w:trPr>
          <w:trHeight w:val="275"/>
        </w:trPr>
        <w:tc>
          <w:tcPr>
            <w:tcW w:w="392" w:type="dxa"/>
          </w:tcPr>
          <w:p w14:paraId="736B37DD" w14:textId="77777777" w:rsidR="006D2AF2" w:rsidRPr="00517959" w:rsidRDefault="006D2AF2" w:rsidP="00A10DEA">
            <w:pPr>
              <w:pStyle w:val="TableParagraph"/>
              <w:rPr>
                <w:sz w:val="24"/>
                <w:szCs w:val="24"/>
              </w:rPr>
            </w:pPr>
          </w:p>
        </w:tc>
        <w:tc>
          <w:tcPr>
            <w:tcW w:w="1299" w:type="dxa"/>
          </w:tcPr>
          <w:p w14:paraId="734B1BBC" w14:textId="77777777" w:rsidR="006D2AF2" w:rsidRPr="00517959" w:rsidRDefault="006D2AF2" w:rsidP="00A10DEA">
            <w:pPr>
              <w:pStyle w:val="TableParagraph"/>
              <w:ind w:left="204"/>
              <w:rPr>
                <w:sz w:val="24"/>
                <w:szCs w:val="24"/>
                <w:lang w:val="en-US"/>
              </w:rPr>
            </w:pPr>
            <w:r w:rsidRPr="00517959">
              <w:rPr>
                <w:sz w:val="24"/>
                <w:szCs w:val="24"/>
                <w:lang w:val="en-US"/>
              </w:rPr>
              <w:t>ROA</w:t>
            </w:r>
          </w:p>
        </w:tc>
        <w:tc>
          <w:tcPr>
            <w:tcW w:w="1635" w:type="dxa"/>
            <w:vAlign w:val="center"/>
          </w:tcPr>
          <w:p w14:paraId="2373DE47" w14:textId="77777777" w:rsidR="006D2AF2" w:rsidRPr="00517959" w:rsidRDefault="006D2AF2" w:rsidP="00A10DEA">
            <w:pPr>
              <w:pStyle w:val="TableParagraph"/>
              <w:ind w:right="239"/>
              <w:jc w:val="right"/>
              <w:rPr>
                <w:sz w:val="24"/>
                <w:szCs w:val="24"/>
              </w:rPr>
            </w:pPr>
            <w:r w:rsidRPr="00517959">
              <w:rPr>
                <w:color w:val="000000"/>
                <w:sz w:val="24"/>
                <w:szCs w:val="24"/>
              </w:rPr>
              <w:t>0,527</w:t>
            </w:r>
          </w:p>
        </w:tc>
        <w:tc>
          <w:tcPr>
            <w:tcW w:w="1282" w:type="dxa"/>
            <w:vAlign w:val="center"/>
          </w:tcPr>
          <w:p w14:paraId="2F2321AF" w14:textId="77777777" w:rsidR="006D2AF2" w:rsidRPr="00517959" w:rsidRDefault="006D2AF2" w:rsidP="00A10DEA">
            <w:pPr>
              <w:pStyle w:val="TableParagraph"/>
              <w:ind w:right="298"/>
              <w:jc w:val="right"/>
              <w:rPr>
                <w:sz w:val="24"/>
                <w:szCs w:val="24"/>
              </w:rPr>
            </w:pPr>
            <w:r w:rsidRPr="00517959">
              <w:rPr>
                <w:color w:val="000000"/>
                <w:sz w:val="24"/>
                <w:szCs w:val="24"/>
              </w:rPr>
              <w:t>0,236</w:t>
            </w:r>
          </w:p>
        </w:tc>
        <w:tc>
          <w:tcPr>
            <w:tcW w:w="1362" w:type="dxa"/>
            <w:vAlign w:val="center"/>
          </w:tcPr>
          <w:p w14:paraId="71D012E2" w14:textId="77777777" w:rsidR="006D2AF2" w:rsidRPr="00517959" w:rsidRDefault="006D2AF2" w:rsidP="00A10DEA">
            <w:pPr>
              <w:pStyle w:val="TableParagraph"/>
              <w:ind w:right="270"/>
              <w:jc w:val="right"/>
              <w:rPr>
                <w:sz w:val="24"/>
                <w:szCs w:val="24"/>
              </w:rPr>
            </w:pPr>
            <w:r w:rsidRPr="00517959">
              <w:rPr>
                <w:color w:val="000000"/>
                <w:sz w:val="24"/>
                <w:szCs w:val="24"/>
              </w:rPr>
              <w:t>0,249</w:t>
            </w:r>
          </w:p>
        </w:tc>
        <w:tc>
          <w:tcPr>
            <w:tcW w:w="940" w:type="dxa"/>
            <w:vAlign w:val="center"/>
          </w:tcPr>
          <w:p w14:paraId="56715FE9" w14:textId="77777777" w:rsidR="006D2AF2" w:rsidRPr="00517959" w:rsidRDefault="006D2AF2" w:rsidP="00A10DEA">
            <w:pPr>
              <w:pStyle w:val="TableParagraph"/>
              <w:ind w:right="120"/>
              <w:jc w:val="right"/>
              <w:rPr>
                <w:sz w:val="24"/>
                <w:szCs w:val="24"/>
              </w:rPr>
            </w:pPr>
            <w:r w:rsidRPr="00517959">
              <w:rPr>
                <w:color w:val="000000"/>
                <w:sz w:val="24"/>
                <w:szCs w:val="24"/>
              </w:rPr>
              <w:t>2,232</w:t>
            </w:r>
          </w:p>
        </w:tc>
        <w:tc>
          <w:tcPr>
            <w:tcW w:w="715" w:type="dxa"/>
            <w:vAlign w:val="center"/>
          </w:tcPr>
          <w:p w14:paraId="56795891" w14:textId="77777777" w:rsidR="006D2AF2" w:rsidRPr="00517959" w:rsidRDefault="006D2AF2" w:rsidP="00A10DEA">
            <w:pPr>
              <w:pStyle w:val="TableParagraph"/>
              <w:ind w:right="55"/>
              <w:jc w:val="right"/>
              <w:rPr>
                <w:sz w:val="24"/>
                <w:szCs w:val="24"/>
              </w:rPr>
            </w:pPr>
            <w:r w:rsidRPr="00517959">
              <w:rPr>
                <w:color w:val="000000"/>
                <w:sz w:val="24"/>
                <w:szCs w:val="24"/>
              </w:rPr>
              <w:t>0,030</w:t>
            </w:r>
          </w:p>
        </w:tc>
      </w:tr>
      <w:tr w:rsidR="006D2AF2" w:rsidRPr="00517959" w14:paraId="2B7ECFFD" w14:textId="77777777" w:rsidTr="00A10DEA">
        <w:trPr>
          <w:trHeight w:val="276"/>
        </w:trPr>
        <w:tc>
          <w:tcPr>
            <w:tcW w:w="392" w:type="dxa"/>
          </w:tcPr>
          <w:p w14:paraId="3D0E884E" w14:textId="77777777" w:rsidR="006D2AF2" w:rsidRPr="00517959" w:rsidRDefault="006D2AF2" w:rsidP="00A10DEA">
            <w:pPr>
              <w:pStyle w:val="TableParagraph"/>
              <w:ind w:left="66"/>
              <w:rPr>
                <w:sz w:val="24"/>
                <w:szCs w:val="24"/>
              </w:rPr>
            </w:pPr>
            <w:r w:rsidRPr="00517959">
              <w:rPr>
                <w:sz w:val="24"/>
                <w:szCs w:val="24"/>
              </w:rPr>
              <w:t>1</w:t>
            </w:r>
          </w:p>
        </w:tc>
        <w:tc>
          <w:tcPr>
            <w:tcW w:w="1299" w:type="dxa"/>
          </w:tcPr>
          <w:p w14:paraId="718FEF40" w14:textId="77777777" w:rsidR="006D2AF2" w:rsidRPr="00517959" w:rsidRDefault="006D2AF2" w:rsidP="00A10DEA">
            <w:pPr>
              <w:pStyle w:val="TableParagraph"/>
              <w:ind w:left="204"/>
              <w:rPr>
                <w:sz w:val="24"/>
                <w:szCs w:val="24"/>
                <w:lang w:val="en-US"/>
              </w:rPr>
            </w:pPr>
            <w:r w:rsidRPr="00517959">
              <w:rPr>
                <w:sz w:val="24"/>
                <w:szCs w:val="24"/>
                <w:lang w:val="en-US"/>
              </w:rPr>
              <w:t>CR</w:t>
            </w:r>
          </w:p>
        </w:tc>
        <w:tc>
          <w:tcPr>
            <w:tcW w:w="1635" w:type="dxa"/>
            <w:vAlign w:val="center"/>
          </w:tcPr>
          <w:p w14:paraId="39DA5F10" w14:textId="77777777" w:rsidR="006D2AF2" w:rsidRPr="00517959" w:rsidRDefault="006D2AF2" w:rsidP="00A10DEA">
            <w:pPr>
              <w:pStyle w:val="TableParagraph"/>
              <w:ind w:right="239"/>
              <w:jc w:val="right"/>
              <w:rPr>
                <w:sz w:val="24"/>
                <w:szCs w:val="24"/>
              </w:rPr>
            </w:pPr>
            <w:r w:rsidRPr="00517959">
              <w:rPr>
                <w:color w:val="000000"/>
                <w:sz w:val="24"/>
                <w:szCs w:val="24"/>
              </w:rPr>
              <w:t>0,009</w:t>
            </w:r>
          </w:p>
        </w:tc>
        <w:tc>
          <w:tcPr>
            <w:tcW w:w="1282" w:type="dxa"/>
            <w:vAlign w:val="center"/>
          </w:tcPr>
          <w:p w14:paraId="097DC98C" w14:textId="77777777" w:rsidR="006D2AF2" w:rsidRPr="00517959" w:rsidRDefault="006D2AF2" w:rsidP="00A10DEA">
            <w:pPr>
              <w:pStyle w:val="TableParagraph"/>
              <w:ind w:right="298"/>
              <w:jc w:val="right"/>
              <w:rPr>
                <w:sz w:val="24"/>
                <w:szCs w:val="24"/>
              </w:rPr>
            </w:pPr>
            <w:r w:rsidRPr="00517959">
              <w:rPr>
                <w:color w:val="000000"/>
                <w:sz w:val="24"/>
                <w:szCs w:val="24"/>
              </w:rPr>
              <w:t>0,020</w:t>
            </w:r>
          </w:p>
        </w:tc>
        <w:tc>
          <w:tcPr>
            <w:tcW w:w="1362" w:type="dxa"/>
            <w:vAlign w:val="center"/>
          </w:tcPr>
          <w:p w14:paraId="39A9C671" w14:textId="77777777" w:rsidR="006D2AF2" w:rsidRPr="00517959" w:rsidRDefault="006D2AF2" w:rsidP="00A10DEA">
            <w:pPr>
              <w:pStyle w:val="TableParagraph"/>
              <w:ind w:right="270"/>
              <w:jc w:val="right"/>
              <w:rPr>
                <w:sz w:val="24"/>
                <w:szCs w:val="24"/>
              </w:rPr>
            </w:pPr>
            <w:r w:rsidRPr="00517959">
              <w:rPr>
                <w:color w:val="000000"/>
                <w:sz w:val="24"/>
                <w:szCs w:val="24"/>
              </w:rPr>
              <w:t>0,069</w:t>
            </w:r>
          </w:p>
        </w:tc>
        <w:tc>
          <w:tcPr>
            <w:tcW w:w="940" w:type="dxa"/>
            <w:vAlign w:val="center"/>
          </w:tcPr>
          <w:p w14:paraId="412EBAF0" w14:textId="77777777" w:rsidR="006D2AF2" w:rsidRPr="00517959" w:rsidRDefault="006D2AF2" w:rsidP="00A10DEA">
            <w:pPr>
              <w:pStyle w:val="TableParagraph"/>
              <w:ind w:right="114"/>
              <w:jc w:val="right"/>
              <w:rPr>
                <w:sz w:val="24"/>
                <w:szCs w:val="24"/>
              </w:rPr>
            </w:pPr>
            <w:r w:rsidRPr="00517959">
              <w:rPr>
                <w:color w:val="000000"/>
                <w:sz w:val="24"/>
                <w:szCs w:val="24"/>
              </w:rPr>
              <w:t>0,450</w:t>
            </w:r>
          </w:p>
        </w:tc>
        <w:tc>
          <w:tcPr>
            <w:tcW w:w="715" w:type="dxa"/>
            <w:vAlign w:val="center"/>
          </w:tcPr>
          <w:p w14:paraId="38C65384" w14:textId="77777777" w:rsidR="006D2AF2" w:rsidRPr="00517959" w:rsidRDefault="006D2AF2" w:rsidP="00A10DEA">
            <w:pPr>
              <w:pStyle w:val="TableParagraph"/>
              <w:ind w:right="55"/>
              <w:jc w:val="right"/>
              <w:rPr>
                <w:sz w:val="24"/>
                <w:szCs w:val="24"/>
              </w:rPr>
            </w:pPr>
            <w:r w:rsidRPr="00517959">
              <w:rPr>
                <w:color w:val="000000"/>
                <w:sz w:val="24"/>
                <w:szCs w:val="24"/>
              </w:rPr>
              <w:t>0,655</w:t>
            </w:r>
          </w:p>
        </w:tc>
      </w:tr>
      <w:tr w:rsidR="006D2AF2" w:rsidRPr="00517959" w14:paraId="4BE7D0E3" w14:textId="77777777" w:rsidTr="00A10DEA">
        <w:trPr>
          <w:trHeight w:val="276"/>
        </w:trPr>
        <w:tc>
          <w:tcPr>
            <w:tcW w:w="392" w:type="dxa"/>
          </w:tcPr>
          <w:p w14:paraId="3AFDD901" w14:textId="77777777" w:rsidR="006D2AF2" w:rsidRPr="00517959" w:rsidRDefault="006D2AF2" w:rsidP="00A10DEA">
            <w:pPr>
              <w:pStyle w:val="TableParagraph"/>
              <w:rPr>
                <w:sz w:val="24"/>
                <w:szCs w:val="24"/>
              </w:rPr>
            </w:pPr>
          </w:p>
        </w:tc>
        <w:tc>
          <w:tcPr>
            <w:tcW w:w="1299" w:type="dxa"/>
          </w:tcPr>
          <w:p w14:paraId="377AC8C4" w14:textId="77777777" w:rsidR="006D2AF2" w:rsidRPr="00517959" w:rsidRDefault="006D2AF2" w:rsidP="00A10DEA">
            <w:pPr>
              <w:pStyle w:val="TableParagraph"/>
              <w:ind w:left="204"/>
              <w:rPr>
                <w:sz w:val="24"/>
                <w:szCs w:val="24"/>
                <w:lang w:val="en-US"/>
              </w:rPr>
            </w:pPr>
            <w:r w:rsidRPr="00517959">
              <w:rPr>
                <w:sz w:val="24"/>
                <w:szCs w:val="24"/>
                <w:lang w:val="en-US"/>
              </w:rPr>
              <w:t>DAR</w:t>
            </w:r>
          </w:p>
        </w:tc>
        <w:tc>
          <w:tcPr>
            <w:tcW w:w="1635" w:type="dxa"/>
            <w:vAlign w:val="center"/>
          </w:tcPr>
          <w:p w14:paraId="7C74D307" w14:textId="77777777" w:rsidR="006D2AF2" w:rsidRPr="00517959" w:rsidRDefault="006D2AF2" w:rsidP="00A10DEA">
            <w:pPr>
              <w:pStyle w:val="TableParagraph"/>
              <w:ind w:right="239"/>
              <w:jc w:val="right"/>
              <w:rPr>
                <w:sz w:val="24"/>
                <w:szCs w:val="24"/>
              </w:rPr>
            </w:pPr>
            <w:r w:rsidRPr="00517959">
              <w:rPr>
                <w:color w:val="000000"/>
                <w:sz w:val="24"/>
                <w:szCs w:val="24"/>
              </w:rPr>
              <w:t>-0,097</w:t>
            </w:r>
          </w:p>
        </w:tc>
        <w:tc>
          <w:tcPr>
            <w:tcW w:w="1282" w:type="dxa"/>
            <w:vAlign w:val="center"/>
          </w:tcPr>
          <w:p w14:paraId="28D0ACDB" w14:textId="77777777" w:rsidR="006D2AF2" w:rsidRPr="00517959" w:rsidRDefault="006D2AF2" w:rsidP="00A10DEA">
            <w:pPr>
              <w:pStyle w:val="TableParagraph"/>
              <w:ind w:right="298"/>
              <w:jc w:val="right"/>
              <w:rPr>
                <w:sz w:val="24"/>
                <w:szCs w:val="24"/>
              </w:rPr>
            </w:pPr>
            <w:r w:rsidRPr="00517959">
              <w:rPr>
                <w:color w:val="000000"/>
                <w:sz w:val="24"/>
                <w:szCs w:val="24"/>
              </w:rPr>
              <w:t>0,260</w:t>
            </w:r>
          </w:p>
        </w:tc>
        <w:tc>
          <w:tcPr>
            <w:tcW w:w="1362" w:type="dxa"/>
            <w:vAlign w:val="center"/>
          </w:tcPr>
          <w:p w14:paraId="68840408" w14:textId="77777777" w:rsidR="006D2AF2" w:rsidRPr="00517959" w:rsidRDefault="006D2AF2" w:rsidP="00A10DEA">
            <w:pPr>
              <w:pStyle w:val="TableParagraph"/>
              <w:ind w:right="270"/>
              <w:jc w:val="right"/>
              <w:rPr>
                <w:sz w:val="24"/>
                <w:szCs w:val="24"/>
              </w:rPr>
            </w:pPr>
            <w:r w:rsidRPr="00517959">
              <w:rPr>
                <w:color w:val="000000"/>
                <w:sz w:val="24"/>
                <w:szCs w:val="24"/>
              </w:rPr>
              <w:t>-0,057</w:t>
            </w:r>
          </w:p>
        </w:tc>
        <w:tc>
          <w:tcPr>
            <w:tcW w:w="940" w:type="dxa"/>
            <w:vAlign w:val="center"/>
          </w:tcPr>
          <w:p w14:paraId="2B9B82C5" w14:textId="77777777" w:rsidR="006D2AF2" w:rsidRPr="00517959" w:rsidRDefault="006D2AF2" w:rsidP="00A10DEA">
            <w:pPr>
              <w:pStyle w:val="TableParagraph"/>
              <w:ind w:right="120"/>
              <w:jc w:val="right"/>
              <w:rPr>
                <w:sz w:val="24"/>
                <w:szCs w:val="24"/>
              </w:rPr>
            </w:pPr>
            <w:r w:rsidRPr="00517959">
              <w:rPr>
                <w:color w:val="000000"/>
                <w:sz w:val="24"/>
                <w:szCs w:val="24"/>
              </w:rPr>
              <w:t>-0,371</w:t>
            </w:r>
          </w:p>
        </w:tc>
        <w:tc>
          <w:tcPr>
            <w:tcW w:w="715" w:type="dxa"/>
            <w:vAlign w:val="center"/>
          </w:tcPr>
          <w:p w14:paraId="07F48D92" w14:textId="77777777" w:rsidR="006D2AF2" w:rsidRPr="00517959" w:rsidRDefault="006D2AF2" w:rsidP="00A10DEA">
            <w:pPr>
              <w:pStyle w:val="TableParagraph"/>
              <w:ind w:right="55"/>
              <w:jc w:val="right"/>
              <w:rPr>
                <w:sz w:val="24"/>
                <w:szCs w:val="24"/>
              </w:rPr>
            </w:pPr>
            <w:r w:rsidRPr="00517959">
              <w:rPr>
                <w:color w:val="000000"/>
                <w:sz w:val="24"/>
                <w:szCs w:val="24"/>
              </w:rPr>
              <w:t>0,712</w:t>
            </w:r>
          </w:p>
        </w:tc>
      </w:tr>
      <w:tr w:rsidR="006D2AF2" w:rsidRPr="00517959" w14:paraId="7772C957" w14:textId="77777777" w:rsidTr="00A10DEA">
        <w:trPr>
          <w:trHeight w:val="270"/>
        </w:trPr>
        <w:tc>
          <w:tcPr>
            <w:tcW w:w="392" w:type="dxa"/>
            <w:tcBorders>
              <w:bottom w:val="single" w:sz="4" w:space="0" w:color="000000"/>
            </w:tcBorders>
          </w:tcPr>
          <w:p w14:paraId="17456CCF" w14:textId="77777777" w:rsidR="006D2AF2" w:rsidRPr="00517959" w:rsidRDefault="006D2AF2" w:rsidP="00A10DEA">
            <w:pPr>
              <w:pStyle w:val="TableParagraph"/>
              <w:rPr>
                <w:sz w:val="24"/>
                <w:szCs w:val="24"/>
              </w:rPr>
            </w:pPr>
          </w:p>
        </w:tc>
        <w:tc>
          <w:tcPr>
            <w:tcW w:w="1299" w:type="dxa"/>
            <w:tcBorders>
              <w:bottom w:val="single" w:sz="4" w:space="0" w:color="000000"/>
            </w:tcBorders>
          </w:tcPr>
          <w:p w14:paraId="5D6BFA98" w14:textId="77777777" w:rsidR="006D2AF2" w:rsidRPr="00517959" w:rsidRDefault="006D2AF2" w:rsidP="00A10DEA">
            <w:pPr>
              <w:pStyle w:val="TableParagraph"/>
              <w:ind w:left="204"/>
              <w:rPr>
                <w:sz w:val="24"/>
                <w:szCs w:val="24"/>
                <w:lang w:val="en-US"/>
              </w:rPr>
            </w:pPr>
            <w:r w:rsidRPr="00517959">
              <w:rPr>
                <w:sz w:val="24"/>
                <w:szCs w:val="24"/>
                <w:lang w:val="en-US"/>
              </w:rPr>
              <w:t>VAIC</w:t>
            </w:r>
          </w:p>
        </w:tc>
        <w:tc>
          <w:tcPr>
            <w:tcW w:w="1635" w:type="dxa"/>
            <w:tcBorders>
              <w:bottom w:val="single" w:sz="4" w:space="0" w:color="000000"/>
            </w:tcBorders>
            <w:vAlign w:val="center"/>
          </w:tcPr>
          <w:p w14:paraId="1279784E" w14:textId="77777777" w:rsidR="006D2AF2" w:rsidRPr="00517959" w:rsidRDefault="006D2AF2" w:rsidP="00A10DEA">
            <w:pPr>
              <w:pStyle w:val="TableParagraph"/>
              <w:ind w:right="239"/>
              <w:jc w:val="right"/>
              <w:rPr>
                <w:sz w:val="24"/>
                <w:szCs w:val="24"/>
              </w:rPr>
            </w:pPr>
            <w:r w:rsidRPr="00517959">
              <w:rPr>
                <w:color w:val="000000"/>
                <w:sz w:val="24"/>
                <w:szCs w:val="24"/>
              </w:rPr>
              <w:t>0,046</w:t>
            </w:r>
          </w:p>
        </w:tc>
        <w:tc>
          <w:tcPr>
            <w:tcW w:w="1282" w:type="dxa"/>
            <w:tcBorders>
              <w:bottom w:val="single" w:sz="4" w:space="0" w:color="000000"/>
            </w:tcBorders>
            <w:vAlign w:val="center"/>
          </w:tcPr>
          <w:p w14:paraId="59090F11" w14:textId="77777777" w:rsidR="006D2AF2" w:rsidRPr="00517959" w:rsidRDefault="006D2AF2" w:rsidP="00A10DEA">
            <w:pPr>
              <w:pStyle w:val="TableParagraph"/>
              <w:ind w:right="298"/>
              <w:jc w:val="right"/>
              <w:rPr>
                <w:sz w:val="24"/>
                <w:szCs w:val="24"/>
              </w:rPr>
            </w:pPr>
            <w:r w:rsidRPr="00517959">
              <w:rPr>
                <w:color w:val="000000"/>
                <w:sz w:val="24"/>
                <w:szCs w:val="24"/>
              </w:rPr>
              <w:t>0,010</w:t>
            </w:r>
          </w:p>
        </w:tc>
        <w:tc>
          <w:tcPr>
            <w:tcW w:w="1362" w:type="dxa"/>
            <w:tcBorders>
              <w:bottom w:val="single" w:sz="4" w:space="0" w:color="000000"/>
            </w:tcBorders>
            <w:vAlign w:val="center"/>
          </w:tcPr>
          <w:p w14:paraId="4B93EAFF" w14:textId="77777777" w:rsidR="006D2AF2" w:rsidRPr="00517959" w:rsidRDefault="006D2AF2" w:rsidP="00A10DEA">
            <w:pPr>
              <w:pStyle w:val="TableParagraph"/>
              <w:ind w:right="270"/>
              <w:jc w:val="right"/>
              <w:rPr>
                <w:sz w:val="24"/>
                <w:szCs w:val="24"/>
              </w:rPr>
            </w:pPr>
            <w:r w:rsidRPr="00517959">
              <w:rPr>
                <w:color w:val="000000"/>
                <w:sz w:val="24"/>
                <w:szCs w:val="24"/>
              </w:rPr>
              <w:t>0,505</w:t>
            </w:r>
          </w:p>
        </w:tc>
        <w:tc>
          <w:tcPr>
            <w:tcW w:w="940" w:type="dxa"/>
            <w:tcBorders>
              <w:bottom w:val="single" w:sz="4" w:space="0" w:color="000000"/>
            </w:tcBorders>
            <w:vAlign w:val="center"/>
          </w:tcPr>
          <w:p w14:paraId="04AB2117" w14:textId="77777777" w:rsidR="006D2AF2" w:rsidRPr="00517959" w:rsidRDefault="006D2AF2" w:rsidP="00A10DEA">
            <w:pPr>
              <w:pStyle w:val="TableParagraph"/>
              <w:ind w:right="114"/>
              <w:jc w:val="right"/>
              <w:rPr>
                <w:sz w:val="24"/>
                <w:szCs w:val="24"/>
              </w:rPr>
            </w:pPr>
            <w:r w:rsidRPr="00517959">
              <w:rPr>
                <w:color w:val="000000"/>
                <w:sz w:val="24"/>
                <w:szCs w:val="24"/>
              </w:rPr>
              <w:t>4,459</w:t>
            </w:r>
          </w:p>
        </w:tc>
        <w:tc>
          <w:tcPr>
            <w:tcW w:w="715" w:type="dxa"/>
            <w:tcBorders>
              <w:bottom w:val="single" w:sz="4" w:space="0" w:color="000000"/>
            </w:tcBorders>
            <w:vAlign w:val="center"/>
          </w:tcPr>
          <w:p w14:paraId="34212AC6" w14:textId="77777777" w:rsidR="006D2AF2" w:rsidRPr="00517959" w:rsidRDefault="006D2AF2" w:rsidP="00A10DEA">
            <w:pPr>
              <w:pStyle w:val="TableParagraph"/>
              <w:ind w:right="55"/>
              <w:jc w:val="right"/>
              <w:rPr>
                <w:sz w:val="24"/>
                <w:szCs w:val="24"/>
              </w:rPr>
            </w:pPr>
            <w:r w:rsidRPr="00517959">
              <w:rPr>
                <w:color w:val="000000"/>
                <w:sz w:val="24"/>
                <w:szCs w:val="24"/>
              </w:rPr>
              <w:t>0,000</w:t>
            </w:r>
          </w:p>
        </w:tc>
      </w:tr>
    </w:tbl>
    <w:p w14:paraId="4374C90C" w14:textId="7251B443" w:rsidR="006D2AF2" w:rsidRDefault="006D2AF2" w:rsidP="006D2AF2">
      <w:pPr>
        <w:pStyle w:val="BodyText"/>
        <w:ind w:left="2160" w:firstLine="720"/>
        <w:jc w:val="both"/>
        <w:rPr>
          <w:b/>
          <w:bCs/>
        </w:rPr>
      </w:pPr>
    </w:p>
    <w:p w14:paraId="15389B8A" w14:textId="77777777" w:rsidR="004F61D5" w:rsidRDefault="00C40A65" w:rsidP="006D2AF2">
      <w:pPr>
        <w:rPr>
          <w:lang w:val="en-US"/>
        </w:rPr>
      </w:pPr>
      <w:r w:rsidRPr="00F50D24">
        <w:t xml:space="preserve">Based on the table above, the regression equation is obtained </w:t>
      </w:r>
      <w:r w:rsidR="004F61D5">
        <w:rPr>
          <w:lang w:val="en-US"/>
        </w:rPr>
        <w:t>:</w:t>
      </w:r>
    </w:p>
    <w:p w14:paraId="03D5DEFC" w14:textId="04FDB3EC" w:rsidR="004F61D5" w:rsidRDefault="004F61D5" w:rsidP="004F61D5">
      <w:pPr>
        <w:pBdr>
          <w:top w:val="single" w:sz="4" w:space="1" w:color="auto"/>
          <w:left w:val="single" w:sz="4" w:space="4" w:color="auto"/>
          <w:bottom w:val="single" w:sz="4" w:space="1" w:color="auto"/>
          <w:right w:val="single" w:sz="4" w:space="4" w:color="auto"/>
        </w:pBdr>
        <w:rPr>
          <w:b/>
          <w:bCs/>
          <w:sz w:val="24"/>
          <w:szCs w:val="24"/>
          <w:lang w:val="en-US"/>
        </w:rPr>
      </w:pPr>
      <w:r>
        <w:rPr>
          <w:lang w:val="en-US"/>
        </w:rPr>
        <w:t xml:space="preserve"> </w:t>
      </w:r>
      <w:r w:rsidR="006D2AF2" w:rsidRPr="004F61D5">
        <w:rPr>
          <w:b/>
          <w:bCs/>
          <w:sz w:val="24"/>
          <w:szCs w:val="24"/>
        </w:rPr>
        <w:t>DPR = 0,088 + 0,527</w:t>
      </w:r>
      <w:r w:rsidR="006D2AF2" w:rsidRPr="004F61D5">
        <w:rPr>
          <w:b/>
          <w:bCs/>
          <w:sz w:val="24"/>
          <w:szCs w:val="24"/>
          <w:vertAlign w:val="subscript"/>
        </w:rPr>
        <w:t>ROA</w:t>
      </w:r>
      <w:r w:rsidR="006D2AF2" w:rsidRPr="004F61D5">
        <w:rPr>
          <w:b/>
          <w:bCs/>
          <w:sz w:val="24"/>
          <w:szCs w:val="24"/>
        </w:rPr>
        <w:t xml:space="preserve"> +  0,009</w:t>
      </w:r>
      <w:r w:rsidR="006D2AF2" w:rsidRPr="004F61D5">
        <w:rPr>
          <w:b/>
          <w:bCs/>
          <w:sz w:val="24"/>
          <w:szCs w:val="24"/>
          <w:vertAlign w:val="subscript"/>
        </w:rPr>
        <w:t>CR</w:t>
      </w:r>
      <w:r w:rsidR="006D2AF2" w:rsidRPr="004F61D5">
        <w:rPr>
          <w:b/>
          <w:bCs/>
          <w:sz w:val="24"/>
          <w:szCs w:val="24"/>
        </w:rPr>
        <w:t xml:space="preserve"> – 0,097</w:t>
      </w:r>
      <w:r w:rsidR="006D2AF2" w:rsidRPr="004F61D5">
        <w:rPr>
          <w:b/>
          <w:bCs/>
          <w:sz w:val="24"/>
          <w:szCs w:val="24"/>
          <w:vertAlign w:val="subscript"/>
        </w:rPr>
        <w:t>DAR</w:t>
      </w:r>
      <w:r w:rsidR="006D2AF2" w:rsidRPr="004F61D5">
        <w:rPr>
          <w:b/>
          <w:bCs/>
          <w:sz w:val="24"/>
          <w:szCs w:val="24"/>
        </w:rPr>
        <w:t xml:space="preserve"> + 0,046</w:t>
      </w:r>
      <w:r w:rsidR="006D2AF2" w:rsidRPr="004F61D5">
        <w:rPr>
          <w:b/>
          <w:bCs/>
          <w:sz w:val="24"/>
          <w:szCs w:val="24"/>
          <w:vertAlign w:val="subscript"/>
        </w:rPr>
        <w:t xml:space="preserve">VAIC </w:t>
      </w:r>
      <w:r w:rsidR="006D2AF2" w:rsidRPr="004F61D5">
        <w:rPr>
          <w:b/>
          <w:bCs/>
          <w:sz w:val="24"/>
          <w:szCs w:val="24"/>
        </w:rPr>
        <w:t>+ ɛ</w:t>
      </w:r>
    </w:p>
    <w:p w14:paraId="2A95737B" w14:textId="7AA3906C" w:rsidR="009B7B92" w:rsidRPr="009B7B92" w:rsidRDefault="004F61D5" w:rsidP="004F61D5">
      <w:r w:rsidRPr="004F61D5">
        <w:rPr>
          <w:sz w:val="24"/>
          <w:szCs w:val="24"/>
          <w:lang w:val="en-US"/>
        </w:rPr>
        <w:t>The constant value in the regression equation is 0.088 which indicates that if the variables of profitability, liquidity, solvency, and intellectual capital are 0, then the dividend policy value will have a score of 0.088.</w:t>
      </w:r>
      <w:r>
        <w:rPr>
          <w:sz w:val="24"/>
          <w:szCs w:val="24"/>
          <w:lang w:val="en-US"/>
        </w:rPr>
        <w:t xml:space="preserve"> </w:t>
      </w:r>
    </w:p>
    <w:p w14:paraId="427C0D33" w14:textId="736E5555" w:rsidR="00C40A65" w:rsidRDefault="004F61D5" w:rsidP="00E45AAD">
      <w:pPr>
        <w:ind w:left="2160" w:right="468" w:firstLine="720"/>
        <w:rPr>
          <w:b/>
          <w:bCs/>
          <w:sz w:val="24"/>
          <w:szCs w:val="24"/>
        </w:rPr>
      </w:pPr>
      <w:r>
        <w:rPr>
          <w:b/>
          <w:bCs/>
          <w:sz w:val="24"/>
          <w:szCs w:val="24"/>
          <w:lang w:val="en-US"/>
        </w:rPr>
        <w:t xml:space="preserve">Table 3. </w:t>
      </w:r>
      <w:r w:rsidR="009B7B92">
        <w:rPr>
          <w:b/>
          <w:bCs/>
          <w:sz w:val="24"/>
          <w:szCs w:val="24"/>
        </w:rPr>
        <w:t xml:space="preserve"> </w:t>
      </w:r>
      <w:r w:rsidR="00C40A65" w:rsidRPr="00F50D24">
        <w:rPr>
          <w:b/>
          <w:bCs/>
          <w:sz w:val="24"/>
          <w:szCs w:val="24"/>
        </w:rPr>
        <w:t>Correlation Coefficient Test</w:t>
      </w:r>
    </w:p>
    <w:p w14:paraId="30C61F4D" w14:textId="77777777" w:rsidR="004F61D5" w:rsidRPr="00517959" w:rsidRDefault="004F61D5" w:rsidP="004F61D5">
      <w:pPr>
        <w:pStyle w:val="BodyText"/>
      </w:pPr>
    </w:p>
    <w:p w14:paraId="3BAB901C" w14:textId="77777777" w:rsidR="004F61D5" w:rsidRPr="00517959" w:rsidRDefault="004F61D5" w:rsidP="004F61D5">
      <w:pPr>
        <w:tabs>
          <w:tab w:val="left" w:pos="3770"/>
          <w:tab w:val="left" w:pos="7845"/>
        </w:tabs>
        <w:ind w:left="972"/>
        <w:rPr>
          <w:b/>
          <w:sz w:val="24"/>
          <w:szCs w:val="24"/>
        </w:rPr>
      </w:pPr>
      <w:r w:rsidRPr="00517959">
        <w:rPr>
          <w:b/>
          <w:sz w:val="24"/>
          <w:szCs w:val="24"/>
          <w:u w:val="single"/>
        </w:rPr>
        <w:t xml:space="preserve"> </w:t>
      </w:r>
      <w:r w:rsidRPr="00517959">
        <w:rPr>
          <w:b/>
          <w:sz w:val="24"/>
          <w:szCs w:val="24"/>
          <w:u w:val="single"/>
        </w:rPr>
        <w:tab/>
        <w:t>Model</w:t>
      </w:r>
      <w:r w:rsidRPr="00517959">
        <w:rPr>
          <w:b/>
          <w:spacing w:val="-3"/>
          <w:sz w:val="24"/>
          <w:szCs w:val="24"/>
          <w:u w:val="single"/>
        </w:rPr>
        <w:t xml:space="preserve"> </w:t>
      </w:r>
      <w:r w:rsidRPr="00517959">
        <w:rPr>
          <w:b/>
          <w:sz w:val="24"/>
          <w:szCs w:val="24"/>
          <w:u w:val="single"/>
        </w:rPr>
        <w:t>Summary</w:t>
      </w:r>
      <w:r w:rsidRPr="00517959">
        <w:rPr>
          <w:b/>
          <w:sz w:val="24"/>
          <w:szCs w:val="24"/>
          <w:u w:val="single"/>
        </w:rPr>
        <w:tab/>
      </w:r>
    </w:p>
    <w:p w14:paraId="3FC4526C" w14:textId="77777777" w:rsidR="004F61D5" w:rsidRPr="00517959" w:rsidRDefault="004F61D5" w:rsidP="004F61D5">
      <w:pPr>
        <w:pStyle w:val="BodyText"/>
        <w:spacing w:before="11"/>
        <w:rPr>
          <w:b/>
        </w:rPr>
      </w:pPr>
    </w:p>
    <w:tbl>
      <w:tblPr>
        <w:tblW w:w="0" w:type="auto"/>
        <w:tblInd w:w="973" w:type="dxa"/>
        <w:tblLayout w:type="fixed"/>
        <w:tblCellMar>
          <w:left w:w="0" w:type="dxa"/>
          <w:right w:w="0" w:type="dxa"/>
        </w:tblCellMar>
        <w:tblLook w:val="04A0" w:firstRow="1" w:lastRow="0" w:firstColumn="1" w:lastColumn="0" w:noHBand="0" w:noVBand="1"/>
      </w:tblPr>
      <w:tblGrid>
        <w:gridCol w:w="854"/>
        <w:gridCol w:w="867"/>
        <w:gridCol w:w="1134"/>
        <w:gridCol w:w="1417"/>
        <w:gridCol w:w="2552"/>
      </w:tblGrid>
      <w:tr w:rsidR="004F61D5" w:rsidRPr="00517959" w14:paraId="221A307F" w14:textId="77777777" w:rsidTr="00A10DEA">
        <w:trPr>
          <w:trHeight w:val="433"/>
        </w:trPr>
        <w:tc>
          <w:tcPr>
            <w:tcW w:w="854" w:type="dxa"/>
            <w:tcBorders>
              <w:bottom w:val="single" w:sz="4" w:space="0" w:color="000000"/>
            </w:tcBorders>
          </w:tcPr>
          <w:p w14:paraId="699AC150" w14:textId="77777777" w:rsidR="004F61D5" w:rsidRPr="00517959" w:rsidRDefault="004F61D5" w:rsidP="00A10DEA">
            <w:pPr>
              <w:pStyle w:val="TableParagraph"/>
              <w:spacing w:before="128"/>
              <w:ind w:left="112"/>
              <w:rPr>
                <w:sz w:val="24"/>
                <w:szCs w:val="24"/>
              </w:rPr>
            </w:pPr>
            <w:r w:rsidRPr="00517959">
              <w:rPr>
                <w:sz w:val="24"/>
                <w:szCs w:val="24"/>
              </w:rPr>
              <w:t>Model</w:t>
            </w:r>
          </w:p>
        </w:tc>
        <w:tc>
          <w:tcPr>
            <w:tcW w:w="867" w:type="dxa"/>
            <w:tcBorders>
              <w:bottom w:val="single" w:sz="4" w:space="0" w:color="000000"/>
            </w:tcBorders>
          </w:tcPr>
          <w:p w14:paraId="70F71039" w14:textId="77777777" w:rsidR="004F61D5" w:rsidRPr="00517959" w:rsidRDefault="004F61D5" w:rsidP="00A10DEA">
            <w:pPr>
              <w:pStyle w:val="TableParagraph"/>
              <w:spacing w:before="128"/>
              <w:ind w:right="50"/>
              <w:jc w:val="center"/>
              <w:rPr>
                <w:sz w:val="24"/>
                <w:szCs w:val="24"/>
              </w:rPr>
            </w:pPr>
            <w:r w:rsidRPr="00517959">
              <w:rPr>
                <w:sz w:val="24"/>
                <w:szCs w:val="24"/>
              </w:rPr>
              <w:t>R</w:t>
            </w:r>
          </w:p>
        </w:tc>
        <w:tc>
          <w:tcPr>
            <w:tcW w:w="1134" w:type="dxa"/>
            <w:tcBorders>
              <w:bottom w:val="single" w:sz="4" w:space="0" w:color="000000"/>
            </w:tcBorders>
          </w:tcPr>
          <w:p w14:paraId="513645B4" w14:textId="77777777" w:rsidR="004F61D5" w:rsidRPr="00517959" w:rsidRDefault="004F61D5" w:rsidP="00A10DEA">
            <w:pPr>
              <w:pStyle w:val="TableParagraph"/>
              <w:ind w:right="47"/>
              <w:jc w:val="center"/>
              <w:rPr>
                <w:sz w:val="24"/>
                <w:szCs w:val="24"/>
              </w:rPr>
            </w:pPr>
            <w:r w:rsidRPr="00517959">
              <w:rPr>
                <w:sz w:val="24"/>
                <w:szCs w:val="24"/>
              </w:rPr>
              <w:t>R</w:t>
            </w:r>
          </w:p>
          <w:p w14:paraId="2A1CF2EB" w14:textId="77777777" w:rsidR="004F61D5" w:rsidRPr="00517959" w:rsidRDefault="004F61D5" w:rsidP="00A10DEA">
            <w:pPr>
              <w:pStyle w:val="TableParagraph"/>
              <w:ind w:left="143" w:right="187"/>
              <w:jc w:val="center"/>
              <w:rPr>
                <w:sz w:val="24"/>
                <w:szCs w:val="24"/>
              </w:rPr>
            </w:pPr>
            <w:r w:rsidRPr="00517959">
              <w:rPr>
                <w:sz w:val="24"/>
                <w:szCs w:val="24"/>
              </w:rPr>
              <w:t>Square</w:t>
            </w:r>
          </w:p>
        </w:tc>
        <w:tc>
          <w:tcPr>
            <w:tcW w:w="1417" w:type="dxa"/>
            <w:tcBorders>
              <w:bottom w:val="single" w:sz="4" w:space="0" w:color="000000"/>
            </w:tcBorders>
          </w:tcPr>
          <w:p w14:paraId="339FE3C2" w14:textId="77777777" w:rsidR="004F61D5" w:rsidRPr="00517959" w:rsidRDefault="004F61D5" w:rsidP="00A10DEA">
            <w:pPr>
              <w:pStyle w:val="TableParagraph"/>
              <w:ind w:left="207" w:right="187" w:firstLine="10"/>
              <w:rPr>
                <w:sz w:val="24"/>
                <w:szCs w:val="24"/>
              </w:rPr>
            </w:pPr>
            <w:r w:rsidRPr="00517959">
              <w:rPr>
                <w:sz w:val="24"/>
                <w:szCs w:val="24"/>
              </w:rPr>
              <w:t>Adjusted R Square</w:t>
            </w:r>
          </w:p>
        </w:tc>
        <w:tc>
          <w:tcPr>
            <w:tcW w:w="2552" w:type="dxa"/>
            <w:tcBorders>
              <w:bottom w:val="single" w:sz="4" w:space="0" w:color="000000"/>
            </w:tcBorders>
          </w:tcPr>
          <w:p w14:paraId="17F160C5" w14:textId="77777777" w:rsidR="004F61D5" w:rsidRPr="00517959" w:rsidRDefault="004F61D5" w:rsidP="00A10DEA">
            <w:pPr>
              <w:pStyle w:val="TableParagraph"/>
              <w:spacing w:before="128"/>
              <w:ind w:left="184" w:right="200"/>
              <w:jc w:val="center"/>
              <w:rPr>
                <w:sz w:val="24"/>
                <w:szCs w:val="24"/>
              </w:rPr>
            </w:pPr>
            <w:r w:rsidRPr="00517959">
              <w:rPr>
                <w:sz w:val="24"/>
                <w:szCs w:val="24"/>
              </w:rPr>
              <w:t>Std. Error of the Estimate</w:t>
            </w:r>
          </w:p>
        </w:tc>
      </w:tr>
      <w:tr w:rsidR="004F61D5" w:rsidRPr="00517959" w14:paraId="77CE5AA9" w14:textId="77777777" w:rsidTr="00A10DEA">
        <w:trPr>
          <w:trHeight w:val="249"/>
        </w:trPr>
        <w:tc>
          <w:tcPr>
            <w:tcW w:w="854" w:type="dxa"/>
            <w:tcBorders>
              <w:top w:val="single" w:sz="4" w:space="0" w:color="000000"/>
              <w:bottom w:val="single" w:sz="4" w:space="0" w:color="000000"/>
            </w:tcBorders>
          </w:tcPr>
          <w:p w14:paraId="61C34430" w14:textId="77777777" w:rsidR="004F61D5" w:rsidRPr="00517959" w:rsidRDefault="004F61D5" w:rsidP="00A10DEA">
            <w:pPr>
              <w:pStyle w:val="TableParagraph"/>
              <w:ind w:left="112"/>
              <w:rPr>
                <w:sz w:val="24"/>
                <w:szCs w:val="24"/>
              </w:rPr>
            </w:pPr>
            <w:r w:rsidRPr="00517959">
              <w:rPr>
                <w:color w:val="000000"/>
                <w:sz w:val="24"/>
                <w:szCs w:val="24"/>
              </w:rPr>
              <w:t>1</w:t>
            </w:r>
          </w:p>
        </w:tc>
        <w:tc>
          <w:tcPr>
            <w:tcW w:w="867" w:type="dxa"/>
            <w:tcBorders>
              <w:top w:val="single" w:sz="4" w:space="0" w:color="000000"/>
              <w:bottom w:val="single" w:sz="4" w:space="0" w:color="000000"/>
            </w:tcBorders>
            <w:vAlign w:val="center"/>
          </w:tcPr>
          <w:p w14:paraId="1B1BCD4A" w14:textId="77777777" w:rsidR="004F61D5" w:rsidRPr="00517959" w:rsidRDefault="004F61D5" w:rsidP="00A10DEA">
            <w:pPr>
              <w:pStyle w:val="TableParagraph"/>
              <w:ind w:left="90" w:right="140"/>
              <w:jc w:val="center"/>
              <w:rPr>
                <w:sz w:val="24"/>
                <w:szCs w:val="24"/>
              </w:rPr>
            </w:pPr>
            <w:r w:rsidRPr="00517959">
              <w:rPr>
                <w:color w:val="000000"/>
                <w:sz w:val="24"/>
                <w:szCs w:val="24"/>
              </w:rPr>
              <w:t>0,662</w:t>
            </w:r>
            <w:r w:rsidRPr="00517959">
              <w:rPr>
                <w:color w:val="000000"/>
                <w:sz w:val="24"/>
                <w:szCs w:val="24"/>
                <w:vertAlign w:val="superscript"/>
              </w:rPr>
              <w:t>a</w:t>
            </w:r>
          </w:p>
        </w:tc>
        <w:tc>
          <w:tcPr>
            <w:tcW w:w="1134" w:type="dxa"/>
            <w:tcBorders>
              <w:top w:val="single" w:sz="4" w:space="0" w:color="000000"/>
              <w:bottom w:val="single" w:sz="4" w:space="0" w:color="000000"/>
            </w:tcBorders>
            <w:vAlign w:val="center"/>
          </w:tcPr>
          <w:p w14:paraId="149F6049" w14:textId="77777777" w:rsidR="004F61D5" w:rsidRPr="00517959" w:rsidRDefault="004F61D5" w:rsidP="00A10DEA">
            <w:pPr>
              <w:pStyle w:val="TableParagraph"/>
              <w:ind w:left="223"/>
              <w:rPr>
                <w:sz w:val="24"/>
                <w:szCs w:val="24"/>
              </w:rPr>
            </w:pPr>
            <w:r w:rsidRPr="00517959">
              <w:rPr>
                <w:color w:val="000000"/>
                <w:sz w:val="24"/>
                <w:szCs w:val="24"/>
              </w:rPr>
              <w:t>0,438</w:t>
            </w:r>
          </w:p>
        </w:tc>
        <w:tc>
          <w:tcPr>
            <w:tcW w:w="1417" w:type="dxa"/>
            <w:tcBorders>
              <w:top w:val="single" w:sz="4" w:space="0" w:color="000000"/>
              <w:bottom w:val="single" w:sz="4" w:space="0" w:color="000000"/>
            </w:tcBorders>
            <w:vAlign w:val="center"/>
          </w:tcPr>
          <w:p w14:paraId="413D802D" w14:textId="77777777" w:rsidR="004F61D5" w:rsidRPr="00517959" w:rsidRDefault="004F61D5" w:rsidP="00A10DEA">
            <w:pPr>
              <w:pStyle w:val="TableParagraph"/>
              <w:ind w:left="379"/>
              <w:rPr>
                <w:sz w:val="24"/>
                <w:szCs w:val="24"/>
              </w:rPr>
            </w:pPr>
            <w:r w:rsidRPr="00517959">
              <w:rPr>
                <w:color w:val="000000"/>
                <w:sz w:val="24"/>
                <w:szCs w:val="24"/>
              </w:rPr>
              <w:t>0,396</w:t>
            </w:r>
          </w:p>
        </w:tc>
        <w:tc>
          <w:tcPr>
            <w:tcW w:w="2552" w:type="dxa"/>
            <w:tcBorders>
              <w:top w:val="single" w:sz="4" w:space="0" w:color="000000"/>
              <w:bottom w:val="single" w:sz="4" w:space="0" w:color="000000"/>
            </w:tcBorders>
            <w:vAlign w:val="center"/>
          </w:tcPr>
          <w:p w14:paraId="6F6B05E7" w14:textId="77777777" w:rsidR="004F61D5" w:rsidRPr="00517959" w:rsidRDefault="004F61D5" w:rsidP="00A10DEA">
            <w:pPr>
              <w:pStyle w:val="TableParagraph"/>
              <w:ind w:left="184" w:right="199"/>
              <w:jc w:val="center"/>
              <w:rPr>
                <w:sz w:val="24"/>
                <w:szCs w:val="24"/>
              </w:rPr>
            </w:pPr>
            <w:r w:rsidRPr="00517959">
              <w:rPr>
                <w:color w:val="000000"/>
                <w:sz w:val="24"/>
                <w:szCs w:val="24"/>
              </w:rPr>
              <w:t>0,207</w:t>
            </w:r>
          </w:p>
        </w:tc>
      </w:tr>
    </w:tbl>
    <w:p w14:paraId="4550FEBA" w14:textId="77777777" w:rsidR="004F61D5" w:rsidRDefault="004F61D5" w:rsidP="00E45AAD">
      <w:pPr>
        <w:ind w:left="2160" w:right="468" w:firstLine="720"/>
        <w:rPr>
          <w:b/>
          <w:bCs/>
          <w:sz w:val="24"/>
          <w:szCs w:val="24"/>
        </w:rPr>
      </w:pPr>
    </w:p>
    <w:p w14:paraId="2181D89C" w14:textId="4089C7F0" w:rsidR="004F61D5" w:rsidRPr="00F54185" w:rsidRDefault="004F61D5" w:rsidP="004F61D5">
      <w:pPr>
        <w:pStyle w:val="BodyText"/>
        <w:spacing w:before="11"/>
        <w:ind w:firstLine="851"/>
        <w:jc w:val="both"/>
        <w:rPr>
          <w:lang w:val="en-US"/>
        </w:rPr>
      </w:pPr>
      <w:r w:rsidRPr="004F61D5">
        <w:t xml:space="preserve">Based on the table above, it can be seen that the Adjusted R Square value is 0.396 or 39.6%. This value indicates that the independent variables namely profitability, liquidity, solvency, and intellectual capital have an influence on dividend policy and explain 39.6%, while the remaining 60.4% is explained by other variables not included in this study, such as company size, etc </w:t>
      </w:r>
      <w:r>
        <w:fldChar w:fldCharType="begin" w:fldLock="1"/>
      </w:r>
      <w:r>
        <w:instrText>ADDIN CSL_CITATION {"citationItems":[{"id":"ITEM-1","itemData":{"DOI":"10.53682/jaim.vi.1708","abstract":"Abstrak Penelitian ini bertujuan untuk mengetahui pengaruh Profitabilitas dan Likuiditas terhadap Kebijakan Dividen pada perusahaan manufaktur. Metode penelitian yang digunakan adalah metode pendekatan kuantitatif. Data sekunder yang digunakan berupa laporan tahunan perusahaan selama 3 tahun. Populasi yang digunakan adalah perusahaan manufaktur yang terdaftar di Bursa Efek Indonesia tahun 2016-2018 sebanyak 168 Perusahaan. Teknik pemilihan sampel dalam penelitian ini adalah teknik porposive sampling. Akan tetapi dalam penelitian ini hanya terpilih 12 perusahaan manufaktur yang memenuhi kriteria pemilihan sampel. Teknik analisis yang digunakan adalah teknik analisis regresi data panel. Persamaan regresi data panel yang terpilih adalah Common Effect Model. Hasil peneltian secara parsial menyimpulkan bahwa profitabilitas berpengaruh terhadap kebijakan dividen, begitu juga likuiditas berpengaruh terhadap kebijakan dividen. Kata Kunci : Profitabilitas, Likuiditas, Kebijakan Dividen","author":[{"dropping-particle":"","family":"Qomariyah","given":"Aliyyul","non-dropping-particle":"","parse-names":false,"suffix":""},{"dropping-particle":"","family":"Sukoco","given":"Y. Djoko","non-dropping-particle":"","parse-names":false,"suffix":""}],"container-title":"Jurnal Riset Manajemen dan Akuntansi (JRMA)","id":"ITEM-1","issue":"03","issued":{"date-parts":[["2021"]]},"page":"406-415","title":"Pengaruh Profitabilitas Dan Likuiditas Terhadap Kebijakan Dividen Pada Perusahaan Manufaktur Yang Terdaftar Di Bursa Efek Indonesia Tahun 2018-2020","type":"article-journal","volume":"09"},"uris":["http://www.mendeley.com/documents/?uuid=870250c2-4c3c-43ff-8bba-42fc57191c5c"]}],"mendeley":{"formattedCitation":"(Qomariyah &amp; Sukoco, 2021)","plainTextFormattedCitation":"(Qomariyah &amp; Sukoco, 2021)","previouslyFormattedCitation":"(Qomariyah &amp; Sukoco, 2021)"},"properties":{"noteIndex":0},"schema":"https://github.com/citation-style-language/schema/raw/master/csl-citation.json"}</w:instrText>
      </w:r>
      <w:r>
        <w:fldChar w:fldCharType="separate"/>
      </w:r>
      <w:r w:rsidRPr="00F54185">
        <w:rPr>
          <w:noProof/>
        </w:rPr>
        <w:t>(Qomariyah &amp; Sukoco, 2021)</w:t>
      </w:r>
      <w:r>
        <w:fldChar w:fldCharType="end"/>
      </w:r>
      <w:r>
        <w:rPr>
          <w:lang w:val="en-US"/>
        </w:rPr>
        <w:t>.</w:t>
      </w:r>
    </w:p>
    <w:p w14:paraId="76116ADF" w14:textId="77777777" w:rsidR="009B7B92" w:rsidRDefault="009B7B92" w:rsidP="00C40A65">
      <w:pPr>
        <w:pStyle w:val="BodyText"/>
        <w:ind w:firstLine="720"/>
        <w:jc w:val="both"/>
      </w:pPr>
    </w:p>
    <w:p w14:paraId="7358C0DF" w14:textId="79E12523" w:rsidR="00C40A65" w:rsidRDefault="00C40A65" w:rsidP="004F61D5">
      <w:pPr>
        <w:pStyle w:val="BodyText"/>
        <w:ind w:firstLine="720"/>
        <w:jc w:val="center"/>
        <w:rPr>
          <w:b/>
        </w:rPr>
      </w:pPr>
      <w:r w:rsidRPr="00F50D24">
        <w:rPr>
          <w:b/>
        </w:rPr>
        <w:lastRenderedPageBreak/>
        <w:t xml:space="preserve">Table </w:t>
      </w:r>
      <w:r w:rsidR="004F61D5">
        <w:rPr>
          <w:b/>
          <w:lang w:val="en-US"/>
        </w:rPr>
        <w:t>4</w:t>
      </w:r>
      <w:r w:rsidRPr="00F50D24">
        <w:rPr>
          <w:b/>
        </w:rPr>
        <w:t>. Results of the t test</w:t>
      </w:r>
    </w:p>
    <w:p w14:paraId="4D5A965E" w14:textId="2747684B" w:rsidR="004F61D5" w:rsidRDefault="004F61D5" w:rsidP="004F61D5">
      <w:pPr>
        <w:pStyle w:val="BodyText"/>
        <w:ind w:firstLine="720"/>
        <w:jc w:val="center"/>
        <w:rPr>
          <w:b/>
        </w:rPr>
      </w:pPr>
    </w:p>
    <w:p w14:paraId="62692752" w14:textId="77777777" w:rsidR="004F61D5" w:rsidRPr="00FB0CF9" w:rsidRDefault="004F61D5" w:rsidP="004F61D5">
      <w:pPr>
        <w:rPr>
          <w:sz w:val="24"/>
          <w:szCs w:val="24"/>
        </w:rPr>
      </w:pPr>
    </w:p>
    <w:p w14:paraId="7716730A" w14:textId="77777777" w:rsidR="004F61D5" w:rsidRPr="00FB0CF9" w:rsidRDefault="004F61D5" w:rsidP="004F61D5">
      <w:pPr>
        <w:jc w:val="center"/>
        <w:rPr>
          <w:b/>
          <w:bCs/>
          <w:sz w:val="24"/>
          <w:szCs w:val="24"/>
        </w:rPr>
      </w:pPr>
      <w:r w:rsidRPr="00FB0CF9">
        <w:rPr>
          <w:b/>
          <w:bCs/>
          <w:sz w:val="24"/>
          <w:szCs w:val="24"/>
        </w:rPr>
        <w:t>Coefficients</w:t>
      </w:r>
      <w:r w:rsidRPr="00FB0CF9">
        <w:rPr>
          <w:b/>
          <w:bCs/>
          <w:sz w:val="24"/>
          <w:szCs w:val="24"/>
          <w:vertAlign w:val="superscript"/>
        </w:rPr>
        <w:t>a</w:t>
      </w:r>
    </w:p>
    <w:tbl>
      <w:tblPr>
        <w:tblW w:w="0" w:type="auto"/>
        <w:tblInd w:w="829" w:type="dxa"/>
        <w:tblCellMar>
          <w:left w:w="0" w:type="dxa"/>
          <w:right w:w="0" w:type="dxa"/>
        </w:tblCellMar>
        <w:tblLook w:val="04A0" w:firstRow="1" w:lastRow="0" w:firstColumn="1" w:lastColumn="0" w:noHBand="0" w:noVBand="1"/>
      </w:tblPr>
      <w:tblGrid>
        <w:gridCol w:w="187"/>
        <w:gridCol w:w="1218"/>
        <w:gridCol w:w="2290"/>
        <w:gridCol w:w="1842"/>
        <w:gridCol w:w="1458"/>
        <w:gridCol w:w="656"/>
        <w:gridCol w:w="550"/>
      </w:tblGrid>
      <w:tr w:rsidR="004F61D5" w14:paraId="187A24D2" w14:textId="77777777" w:rsidTr="004F61D5">
        <w:trPr>
          <w:trHeight w:val="557"/>
        </w:trPr>
        <w:tc>
          <w:tcPr>
            <w:tcW w:w="0" w:type="auto"/>
            <w:gridSpan w:val="2"/>
            <w:tcBorders>
              <w:top w:val="single" w:sz="4" w:space="0" w:color="000000"/>
            </w:tcBorders>
            <w:vAlign w:val="center"/>
          </w:tcPr>
          <w:p w14:paraId="3348494F" w14:textId="77777777" w:rsidR="004F61D5" w:rsidRDefault="004F61D5" w:rsidP="00A10DEA">
            <w:pPr>
              <w:pStyle w:val="TableParagraph"/>
              <w:ind w:left="66"/>
              <w:jc w:val="center"/>
              <w:rPr>
                <w:sz w:val="24"/>
              </w:rPr>
            </w:pPr>
            <w:r>
              <w:rPr>
                <w:sz w:val="24"/>
              </w:rPr>
              <w:t>Model</w:t>
            </w:r>
          </w:p>
        </w:tc>
        <w:tc>
          <w:tcPr>
            <w:tcW w:w="0" w:type="auto"/>
            <w:tcBorders>
              <w:top w:val="single" w:sz="4" w:space="0" w:color="000000"/>
            </w:tcBorders>
            <w:vAlign w:val="center"/>
          </w:tcPr>
          <w:p w14:paraId="77312D25" w14:textId="77777777" w:rsidR="004F61D5" w:rsidRDefault="004F61D5" w:rsidP="00A10DEA">
            <w:pPr>
              <w:pStyle w:val="TableParagraph"/>
              <w:spacing w:line="270" w:lineRule="atLeast"/>
              <w:ind w:left="81" w:right="27"/>
              <w:jc w:val="center"/>
              <w:rPr>
                <w:sz w:val="24"/>
              </w:rPr>
            </w:pPr>
            <w:r>
              <w:rPr>
                <w:sz w:val="24"/>
              </w:rPr>
              <w:t>Unstandardized Coefficients</w:t>
            </w:r>
          </w:p>
        </w:tc>
        <w:tc>
          <w:tcPr>
            <w:tcW w:w="0" w:type="auto"/>
            <w:gridSpan w:val="2"/>
            <w:tcBorders>
              <w:top w:val="single" w:sz="4" w:space="0" w:color="000000"/>
            </w:tcBorders>
            <w:vAlign w:val="center"/>
          </w:tcPr>
          <w:p w14:paraId="349DCF4A" w14:textId="77777777" w:rsidR="004F61D5" w:rsidRDefault="004F61D5" w:rsidP="00A10DEA">
            <w:pPr>
              <w:pStyle w:val="TableParagraph"/>
              <w:spacing w:line="270" w:lineRule="atLeast"/>
              <w:ind w:left="1233" w:right="174" w:hanging="36"/>
              <w:jc w:val="center"/>
              <w:rPr>
                <w:sz w:val="24"/>
              </w:rPr>
            </w:pPr>
            <w:r>
              <w:rPr>
                <w:sz w:val="24"/>
              </w:rPr>
              <w:t>Standardized Coefficients</w:t>
            </w:r>
          </w:p>
        </w:tc>
        <w:tc>
          <w:tcPr>
            <w:tcW w:w="0" w:type="auto"/>
            <w:tcBorders>
              <w:top w:val="single" w:sz="4" w:space="0" w:color="000000"/>
            </w:tcBorders>
            <w:vAlign w:val="center"/>
          </w:tcPr>
          <w:p w14:paraId="2526249F" w14:textId="77777777" w:rsidR="004F61D5" w:rsidRDefault="004F61D5" w:rsidP="00A10DEA">
            <w:pPr>
              <w:pStyle w:val="TableParagraph"/>
              <w:ind w:left="257"/>
              <w:jc w:val="center"/>
              <w:rPr>
                <w:sz w:val="24"/>
              </w:rPr>
            </w:pPr>
            <w:r>
              <w:rPr>
                <w:sz w:val="24"/>
              </w:rPr>
              <w:t>t</w:t>
            </w:r>
          </w:p>
        </w:tc>
        <w:tc>
          <w:tcPr>
            <w:tcW w:w="0" w:type="auto"/>
            <w:tcBorders>
              <w:top w:val="single" w:sz="4" w:space="0" w:color="000000"/>
            </w:tcBorders>
            <w:vAlign w:val="center"/>
          </w:tcPr>
          <w:p w14:paraId="4357C054" w14:textId="77777777" w:rsidR="004F61D5" w:rsidRDefault="004F61D5" w:rsidP="00A10DEA">
            <w:pPr>
              <w:pStyle w:val="TableParagraph"/>
              <w:ind w:right="69"/>
              <w:jc w:val="center"/>
              <w:rPr>
                <w:sz w:val="24"/>
              </w:rPr>
            </w:pPr>
            <w:r>
              <w:rPr>
                <w:w w:val="95"/>
                <w:sz w:val="24"/>
              </w:rPr>
              <w:t>Sig.</w:t>
            </w:r>
          </w:p>
        </w:tc>
      </w:tr>
      <w:tr w:rsidR="004F61D5" w14:paraId="1870B8F1" w14:textId="77777777" w:rsidTr="004F61D5">
        <w:trPr>
          <w:trHeight w:val="270"/>
        </w:trPr>
        <w:tc>
          <w:tcPr>
            <w:tcW w:w="0" w:type="auto"/>
            <w:tcBorders>
              <w:bottom w:val="single" w:sz="4" w:space="0" w:color="000000"/>
            </w:tcBorders>
          </w:tcPr>
          <w:p w14:paraId="20E338A6" w14:textId="77777777" w:rsidR="004F61D5" w:rsidRDefault="004F61D5" w:rsidP="00A10DEA">
            <w:pPr>
              <w:pStyle w:val="TableParagraph"/>
              <w:rPr>
                <w:sz w:val="20"/>
              </w:rPr>
            </w:pPr>
          </w:p>
        </w:tc>
        <w:tc>
          <w:tcPr>
            <w:tcW w:w="0" w:type="auto"/>
            <w:tcBorders>
              <w:bottom w:val="single" w:sz="4" w:space="0" w:color="000000"/>
            </w:tcBorders>
          </w:tcPr>
          <w:p w14:paraId="48010029" w14:textId="77777777" w:rsidR="004F61D5" w:rsidRDefault="004F61D5" w:rsidP="00A10DEA">
            <w:pPr>
              <w:pStyle w:val="TableParagraph"/>
              <w:rPr>
                <w:sz w:val="20"/>
              </w:rPr>
            </w:pPr>
          </w:p>
        </w:tc>
        <w:tc>
          <w:tcPr>
            <w:tcW w:w="0" w:type="auto"/>
            <w:tcBorders>
              <w:bottom w:val="single" w:sz="4" w:space="0" w:color="000000"/>
            </w:tcBorders>
          </w:tcPr>
          <w:p w14:paraId="69700626" w14:textId="77777777" w:rsidR="004F61D5" w:rsidRDefault="004F61D5" w:rsidP="00A10DEA">
            <w:pPr>
              <w:pStyle w:val="TableParagraph"/>
              <w:spacing w:line="251" w:lineRule="exact"/>
              <w:ind w:right="177"/>
              <w:jc w:val="center"/>
              <w:rPr>
                <w:sz w:val="24"/>
              </w:rPr>
            </w:pPr>
            <w:r>
              <w:rPr>
                <w:sz w:val="24"/>
              </w:rPr>
              <w:t>B</w:t>
            </w:r>
          </w:p>
        </w:tc>
        <w:tc>
          <w:tcPr>
            <w:tcW w:w="0" w:type="auto"/>
            <w:tcBorders>
              <w:bottom w:val="single" w:sz="4" w:space="0" w:color="000000"/>
            </w:tcBorders>
          </w:tcPr>
          <w:p w14:paraId="09A8D72B" w14:textId="77777777" w:rsidR="004F61D5" w:rsidRDefault="004F61D5" w:rsidP="00A10DEA">
            <w:pPr>
              <w:pStyle w:val="TableParagraph"/>
              <w:spacing w:line="251" w:lineRule="exact"/>
              <w:ind w:right="286"/>
              <w:jc w:val="right"/>
              <w:rPr>
                <w:sz w:val="24"/>
              </w:rPr>
            </w:pPr>
            <w:r>
              <w:rPr>
                <w:sz w:val="24"/>
              </w:rPr>
              <w:t>Std. Error</w:t>
            </w:r>
          </w:p>
        </w:tc>
        <w:tc>
          <w:tcPr>
            <w:tcW w:w="0" w:type="auto"/>
            <w:tcBorders>
              <w:bottom w:val="single" w:sz="4" w:space="0" w:color="000000"/>
            </w:tcBorders>
          </w:tcPr>
          <w:p w14:paraId="2D534DA9" w14:textId="77777777" w:rsidR="004F61D5" w:rsidRDefault="004F61D5" w:rsidP="00A10DEA">
            <w:pPr>
              <w:pStyle w:val="TableParagraph"/>
              <w:spacing w:line="251" w:lineRule="exact"/>
              <w:ind w:left="287"/>
              <w:rPr>
                <w:sz w:val="24"/>
              </w:rPr>
            </w:pPr>
            <w:r>
              <w:rPr>
                <w:sz w:val="24"/>
              </w:rPr>
              <w:t>Beta</w:t>
            </w:r>
          </w:p>
        </w:tc>
        <w:tc>
          <w:tcPr>
            <w:tcW w:w="0" w:type="auto"/>
            <w:tcBorders>
              <w:bottom w:val="single" w:sz="4" w:space="0" w:color="000000"/>
            </w:tcBorders>
          </w:tcPr>
          <w:p w14:paraId="6FD71958" w14:textId="77777777" w:rsidR="004F61D5" w:rsidRDefault="004F61D5" w:rsidP="00A10DEA">
            <w:pPr>
              <w:pStyle w:val="TableParagraph"/>
              <w:rPr>
                <w:sz w:val="20"/>
              </w:rPr>
            </w:pPr>
          </w:p>
        </w:tc>
        <w:tc>
          <w:tcPr>
            <w:tcW w:w="0" w:type="auto"/>
            <w:tcBorders>
              <w:bottom w:val="single" w:sz="4" w:space="0" w:color="000000"/>
            </w:tcBorders>
          </w:tcPr>
          <w:p w14:paraId="29F433B7" w14:textId="77777777" w:rsidR="004F61D5" w:rsidRDefault="004F61D5" w:rsidP="00A10DEA">
            <w:pPr>
              <w:pStyle w:val="TableParagraph"/>
              <w:rPr>
                <w:sz w:val="20"/>
              </w:rPr>
            </w:pPr>
          </w:p>
        </w:tc>
      </w:tr>
      <w:tr w:rsidR="004F61D5" w14:paraId="13BE5250" w14:textId="77777777" w:rsidTr="004F61D5">
        <w:trPr>
          <w:trHeight w:val="281"/>
        </w:trPr>
        <w:tc>
          <w:tcPr>
            <w:tcW w:w="0" w:type="auto"/>
            <w:tcBorders>
              <w:top w:val="single" w:sz="4" w:space="0" w:color="000000"/>
            </w:tcBorders>
          </w:tcPr>
          <w:p w14:paraId="3773B7A3" w14:textId="77777777" w:rsidR="004F61D5" w:rsidRDefault="004F61D5" w:rsidP="00A10DEA">
            <w:pPr>
              <w:pStyle w:val="TableParagraph"/>
              <w:rPr>
                <w:sz w:val="20"/>
              </w:rPr>
            </w:pPr>
          </w:p>
        </w:tc>
        <w:tc>
          <w:tcPr>
            <w:tcW w:w="0" w:type="auto"/>
            <w:tcBorders>
              <w:top w:val="single" w:sz="4" w:space="0" w:color="000000"/>
            </w:tcBorders>
          </w:tcPr>
          <w:p w14:paraId="6D58C9FE" w14:textId="77777777" w:rsidR="004F61D5" w:rsidRDefault="004F61D5" w:rsidP="00A10DEA">
            <w:pPr>
              <w:pStyle w:val="TableParagraph"/>
              <w:spacing w:line="261" w:lineRule="exact"/>
              <w:ind w:left="204"/>
              <w:rPr>
                <w:sz w:val="24"/>
              </w:rPr>
            </w:pPr>
            <w:r>
              <w:rPr>
                <w:sz w:val="24"/>
              </w:rPr>
              <w:t>(Constant)</w:t>
            </w:r>
          </w:p>
        </w:tc>
        <w:tc>
          <w:tcPr>
            <w:tcW w:w="0" w:type="auto"/>
            <w:tcBorders>
              <w:top w:val="single" w:sz="4" w:space="0" w:color="000000"/>
            </w:tcBorders>
            <w:vAlign w:val="center"/>
          </w:tcPr>
          <w:p w14:paraId="024A170E" w14:textId="77777777" w:rsidR="004F61D5" w:rsidRDefault="004F61D5" w:rsidP="00A10DEA">
            <w:pPr>
              <w:pStyle w:val="TableParagraph"/>
              <w:spacing w:line="261" w:lineRule="exact"/>
              <w:ind w:right="239"/>
              <w:jc w:val="right"/>
              <w:rPr>
                <w:sz w:val="24"/>
              </w:rPr>
            </w:pPr>
            <w:r>
              <w:rPr>
                <w:color w:val="000000"/>
              </w:rPr>
              <w:t>0,088</w:t>
            </w:r>
          </w:p>
        </w:tc>
        <w:tc>
          <w:tcPr>
            <w:tcW w:w="0" w:type="auto"/>
            <w:tcBorders>
              <w:top w:val="single" w:sz="4" w:space="0" w:color="000000"/>
            </w:tcBorders>
            <w:vAlign w:val="center"/>
          </w:tcPr>
          <w:p w14:paraId="6F631846" w14:textId="77777777" w:rsidR="004F61D5" w:rsidRDefault="004F61D5" w:rsidP="00A10DEA">
            <w:pPr>
              <w:pStyle w:val="TableParagraph"/>
              <w:spacing w:line="261" w:lineRule="exact"/>
              <w:ind w:right="298"/>
              <w:jc w:val="right"/>
              <w:rPr>
                <w:sz w:val="24"/>
              </w:rPr>
            </w:pPr>
            <w:r>
              <w:rPr>
                <w:color w:val="000000"/>
              </w:rPr>
              <w:t>0,162</w:t>
            </w:r>
          </w:p>
        </w:tc>
        <w:tc>
          <w:tcPr>
            <w:tcW w:w="0" w:type="auto"/>
            <w:tcBorders>
              <w:top w:val="single" w:sz="4" w:space="0" w:color="000000"/>
            </w:tcBorders>
            <w:vAlign w:val="center"/>
          </w:tcPr>
          <w:p w14:paraId="47A72B5E" w14:textId="77777777" w:rsidR="004F61D5" w:rsidRDefault="004F61D5" w:rsidP="00A10DEA">
            <w:pPr>
              <w:pStyle w:val="TableParagraph"/>
              <w:rPr>
                <w:sz w:val="20"/>
              </w:rPr>
            </w:pPr>
          </w:p>
        </w:tc>
        <w:tc>
          <w:tcPr>
            <w:tcW w:w="0" w:type="auto"/>
            <w:tcBorders>
              <w:top w:val="single" w:sz="4" w:space="0" w:color="000000"/>
            </w:tcBorders>
            <w:vAlign w:val="center"/>
          </w:tcPr>
          <w:p w14:paraId="7337A251" w14:textId="77777777" w:rsidR="004F61D5" w:rsidRDefault="004F61D5" w:rsidP="00A10DEA">
            <w:pPr>
              <w:pStyle w:val="TableParagraph"/>
              <w:spacing w:line="261" w:lineRule="exact"/>
              <w:ind w:right="120"/>
              <w:jc w:val="right"/>
              <w:rPr>
                <w:sz w:val="24"/>
              </w:rPr>
            </w:pPr>
            <w:r>
              <w:rPr>
                <w:color w:val="000000"/>
              </w:rPr>
              <w:t>0,544</w:t>
            </w:r>
          </w:p>
        </w:tc>
        <w:tc>
          <w:tcPr>
            <w:tcW w:w="0" w:type="auto"/>
            <w:tcBorders>
              <w:top w:val="single" w:sz="4" w:space="0" w:color="000000"/>
            </w:tcBorders>
            <w:vAlign w:val="center"/>
          </w:tcPr>
          <w:p w14:paraId="385AF037" w14:textId="77777777" w:rsidR="004F61D5" w:rsidRDefault="004F61D5" w:rsidP="00A10DEA">
            <w:pPr>
              <w:pStyle w:val="TableParagraph"/>
              <w:spacing w:line="261" w:lineRule="exact"/>
              <w:ind w:right="55"/>
              <w:jc w:val="right"/>
              <w:rPr>
                <w:sz w:val="24"/>
              </w:rPr>
            </w:pPr>
            <w:r>
              <w:rPr>
                <w:color w:val="000000"/>
              </w:rPr>
              <w:t>0,580</w:t>
            </w:r>
          </w:p>
        </w:tc>
      </w:tr>
      <w:tr w:rsidR="004F61D5" w14:paraId="1FD80757" w14:textId="77777777" w:rsidTr="004F61D5">
        <w:trPr>
          <w:trHeight w:val="276"/>
        </w:trPr>
        <w:tc>
          <w:tcPr>
            <w:tcW w:w="0" w:type="auto"/>
          </w:tcPr>
          <w:p w14:paraId="076882DC" w14:textId="77777777" w:rsidR="004F61D5" w:rsidRDefault="004F61D5" w:rsidP="00A10DEA">
            <w:pPr>
              <w:pStyle w:val="TableParagraph"/>
              <w:rPr>
                <w:sz w:val="20"/>
              </w:rPr>
            </w:pPr>
          </w:p>
        </w:tc>
        <w:tc>
          <w:tcPr>
            <w:tcW w:w="0" w:type="auto"/>
          </w:tcPr>
          <w:p w14:paraId="4F70E373" w14:textId="77777777" w:rsidR="004F61D5" w:rsidRPr="00FB0CF9" w:rsidRDefault="004F61D5" w:rsidP="00A10DEA">
            <w:pPr>
              <w:pStyle w:val="TableParagraph"/>
              <w:ind w:left="204"/>
              <w:rPr>
                <w:sz w:val="24"/>
                <w:lang w:val="en-US"/>
              </w:rPr>
            </w:pPr>
            <w:r>
              <w:rPr>
                <w:sz w:val="24"/>
                <w:lang w:val="en-US"/>
              </w:rPr>
              <w:t>ROA</w:t>
            </w:r>
          </w:p>
        </w:tc>
        <w:tc>
          <w:tcPr>
            <w:tcW w:w="0" w:type="auto"/>
            <w:vAlign w:val="center"/>
          </w:tcPr>
          <w:p w14:paraId="38D28F17" w14:textId="77777777" w:rsidR="004F61D5" w:rsidRDefault="004F61D5" w:rsidP="00A10DEA">
            <w:pPr>
              <w:pStyle w:val="TableParagraph"/>
              <w:ind w:right="239"/>
              <w:jc w:val="right"/>
              <w:rPr>
                <w:sz w:val="24"/>
              </w:rPr>
            </w:pPr>
            <w:r>
              <w:rPr>
                <w:color w:val="000000"/>
              </w:rPr>
              <w:t>0,527</w:t>
            </w:r>
          </w:p>
        </w:tc>
        <w:tc>
          <w:tcPr>
            <w:tcW w:w="0" w:type="auto"/>
            <w:vAlign w:val="center"/>
          </w:tcPr>
          <w:p w14:paraId="00C836CF" w14:textId="77777777" w:rsidR="004F61D5" w:rsidRDefault="004F61D5" w:rsidP="00A10DEA">
            <w:pPr>
              <w:pStyle w:val="TableParagraph"/>
              <w:ind w:right="298"/>
              <w:jc w:val="right"/>
              <w:rPr>
                <w:sz w:val="24"/>
              </w:rPr>
            </w:pPr>
            <w:r>
              <w:rPr>
                <w:color w:val="000000"/>
              </w:rPr>
              <w:t>0,236</w:t>
            </w:r>
          </w:p>
        </w:tc>
        <w:tc>
          <w:tcPr>
            <w:tcW w:w="0" w:type="auto"/>
            <w:vAlign w:val="center"/>
          </w:tcPr>
          <w:p w14:paraId="1BEB4153" w14:textId="77777777" w:rsidR="004F61D5" w:rsidRDefault="004F61D5" w:rsidP="00A10DEA">
            <w:pPr>
              <w:pStyle w:val="TableParagraph"/>
              <w:ind w:right="270"/>
              <w:jc w:val="right"/>
              <w:rPr>
                <w:sz w:val="24"/>
              </w:rPr>
            </w:pPr>
            <w:r>
              <w:rPr>
                <w:color w:val="000000"/>
              </w:rPr>
              <w:t>0,249</w:t>
            </w:r>
          </w:p>
        </w:tc>
        <w:tc>
          <w:tcPr>
            <w:tcW w:w="0" w:type="auto"/>
            <w:vAlign w:val="center"/>
          </w:tcPr>
          <w:p w14:paraId="2B35C161" w14:textId="77777777" w:rsidR="004F61D5" w:rsidRDefault="004F61D5" w:rsidP="00A10DEA">
            <w:pPr>
              <w:pStyle w:val="TableParagraph"/>
              <w:ind w:right="120"/>
              <w:jc w:val="right"/>
              <w:rPr>
                <w:sz w:val="24"/>
              </w:rPr>
            </w:pPr>
            <w:r>
              <w:rPr>
                <w:color w:val="000000"/>
              </w:rPr>
              <w:t>2,232</w:t>
            </w:r>
          </w:p>
        </w:tc>
        <w:tc>
          <w:tcPr>
            <w:tcW w:w="0" w:type="auto"/>
            <w:vAlign w:val="center"/>
          </w:tcPr>
          <w:p w14:paraId="48487C5E" w14:textId="77777777" w:rsidR="004F61D5" w:rsidRDefault="004F61D5" w:rsidP="00A10DEA">
            <w:pPr>
              <w:pStyle w:val="TableParagraph"/>
              <w:ind w:right="55"/>
              <w:jc w:val="right"/>
              <w:rPr>
                <w:sz w:val="24"/>
              </w:rPr>
            </w:pPr>
            <w:r>
              <w:rPr>
                <w:color w:val="000000"/>
              </w:rPr>
              <w:t>0,030</w:t>
            </w:r>
          </w:p>
        </w:tc>
      </w:tr>
      <w:tr w:rsidR="004F61D5" w14:paraId="43136D8D" w14:textId="77777777" w:rsidTr="004F61D5">
        <w:trPr>
          <w:trHeight w:val="275"/>
        </w:trPr>
        <w:tc>
          <w:tcPr>
            <w:tcW w:w="0" w:type="auto"/>
          </w:tcPr>
          <w:p w14:paraId="3D9E6707" w14:textId="77777777" w:rsidR="004F61D5" w:rsidRDefault="004F61D5" w:rsidP="00A10DEA">
            <w:pPr>
              <w:pStyle w:val="TableParagraph"/>
              <w:ind w:left="66"/>
              <w:rPr>
                <w:sz w:val="24"/>
              </w:rPr>
            </w:pPr>
            <w:r>
              <w:rPr>
                <w:sz w:val="24"/>
              </w:rPr>
              <w:t>1</w:t>
            </w:r>
          </w:p>
        </w:tc>
        <w:tc>
          <w:tcPr>
            <w:tcW w:w="0" w:type="auto"/>
          </w:tcPr>
          <w:p w14:paraId="00E349E5" w14:textId="77777777" w:rsidR="004F61D5" w:rsidRPr="00FB0CF9" w:rsidRDefault="004F61D5" w:rsidP="00A10DEA">
            <w:pPr>
              <w:pStyle w:val="TableParagraph"/>
              <w:ind w:left="204"/>
              <w:rPr>
                <w:sz w:val="24"/>
                <w:lang w:val="en-US"/>
              </w:rPr>
            </w:pPr>
            <w:r>
              <w:rPr>
                <w:sz w:val="24"/>
                <w:lang w:val="en-US"/>
              </w:rPr>
              <w:t>CR</w:t>
            </w:r>
          </w:p>
        </w:tc>
        <w:tc>
          <w:tcPr>
            <w:tcW w:w="0" w:type="auto"/>
            <w:vAlign w:val="center"/>
          </w:tcPr>
          <w:p w14:paraId="2A967B35" w14:textId="77777777" w:rsidR="004F61D5" w:rsidRDefault="004F61D5" w:rsidP="00A10DEA">
            <w:pPr>
              <w:pStyle w:val="TableParagraph"/>
              <w:ind w:right="239"/>
              <w:jc w:val="right"/>
              <w:rPr>
                <w:sz w:val="24"/>
              </w:rPr>
            </w:pPr>
            <w:r>
              <w:rPr>
                <w:color w:val="000000"/>
              </w:rPr>
              <w:t>0,009</w:t>
            </w:r>
          </w:p>
        </w:tc>
        <w:tc>
          <w:tcPr>
            <w:tcW w:w="0" w:type="auto"/>
            <w:vAlign w:val="center"/>
          </w:tcPr>
          <w:p w14:paraId="6A016FC0" w14:textId="77777777" w:rsidR="004F61D5" w:rsidRDefault="004F61D5" w:rsidP="00A10DEA">
            <w:pPr>
              <w:pStyle w:val="TableParagraph"/>
              <w:ind w:right="298"/>
              <w:jc w:val="right"/>
              <w:rPr>
                <w:sz w:val="24"/>
              </w:rPr>
            </w:pPr>
            <w:r>
              <w:rPr>
                <w:color w:val="000000"/>
              </w:rPr>
              <w:t>0,020</w:t>
            </w:r>
          </w:p>
        </w:tc>
        <w:tc>
          <w:tcPr>
            <w:tcW w:w="0" w:type="auto"/>
            <w:vAlign w:val="center"/>
          </w:tcPr>
          <w:p w14:paraId="542919BD" w14:textId="77777777" w:rsidR="004F61D5" w:rsidRDefault="004F61D5" w:rsidP="00A10DEA">
            <w:pPr>
              <w:pStyle w:val="TableParagraph"/>
              <w:ind w:right="270"/>
              <w:jc w:val="right"/>
              <w:rPr>
                <w:sz w:val="24"/>
              </w:rPr>
            </w:pPr>
            <w:r>
              <w:rPr>
                <w:color w:val="000000"/>
              </w:rPr>
              <w:t>0,069</w:t>
            </w:r>
          </w:p>
        </w:tc>
        <w:tc>
          <w:tcPr>
            <w:tcW w:w="0" w:type="auto"/>
            <w:vAlign w:val="center"/>
          </w:tcPr>
          <w:p w14:paraId="47CD48EB" w14:textId="77777777" w:rsidR="004F61D5" w:rsidRDefault="004F61D5" w:rsidP="00A10DEA">
            <w:pPr>
              <w:pStyle w:val="TableParagraph"/>
              <w:ind w:right="114"/>
              <w:jc w:val="right"/>
              <w:rPr>
                <w:sz w:val="24"/>
              </w:rPr>
            </w:pPr>
            <w:r>
              <w:rPr>
                <w:color w:val="000000"/>
              </w:rPr>
              <w:t>0,450</w:t>
            </w:r>
          </w:p>
        </w:tc>
        <w:tc>
          <w:tcPr>
            <w:tcW w:w="0" w:type="auto"/>
            <w:vAlign w:val="center"/>
          </w:tcPr>
          <w:p w14:paraId="2973305F" w14:textId="77777777" w:rsidR="004F61D5" w:rsidRDefault="004F61D5" w:rsidP="00A10DEA">
            <w:pPr>
              <w:pStyle w:val="TableParagraph"/>
              <w:ind w:right="55"/>
              <w:jc w:val="right"/>
              <w:rPr>
                <w:sz w:val="24"/>
              </w:rPr>
            </w:pPr>
            <w:r>
              <w:rPr>
                <w:color w:val="000000"/>
              </w:rPr>
              <w:t>0,655</w:t>
            </w:r>
          </w:p>
        </w:tc>
      </w:tr>
      <w:tr w:rsidR="004F61D5" w14:paraId="31DB1405" w14:textId="77777777" w:rsidTr="004F61D5">
        <w:trPr>
          <w:trHeight w:val="275"/>
        </w:trPr>
        <w:tc>
          <w:tcPr>
            <w:tcW w:w="0" w:type="auto"/>
          </w:tcPr>
          <w:p w14:paraId="5B5E872C" w14:textId="77777777" w:rsidR="004F61D5" w:rsidRDefault="004F61D5" w:rsidP="00A10DEA">
            <w:pPr>
              <w:pStyle w:val="TableParagraph"/>
              <w:rPr>
                <w:sz w:val="20"/>
              </w:rPr>
            </w:pPr>
          </w:p>
        </w:tc>
        <w:tc>
          <w:tcPr>
            <w:tcW w:w="0" w:type="auto"/>
          </w:tcPr>
          <w:p w14:paraId="547491BA" w14:textId="77777777" w:rsidR="004F61D5" w:rsidRPr="00FB0CF9" w:rsidRDefault="004F61D5" w:rsidP="00A10DEA">
            <w:pPr>
              <w:pStyle w:val="TableParagraph"/>
              <w:ind w:left="204"/>
              <w:rPr>
                <w:sz w:val="24"/>
                <w:lang w:val="en-US"/>
              </w:rPr>
            </w:pPr>
            <w:r>
              <w:rPr>
                <w:sz w:val="24"/>
                <w:lang w:val="en-US"/>
              </w:rPr>
              <w:t>DAR</w:t>
            </w:r>
          </w:p>
        </w:tc>
        <w:tc>
          <w:tcPr>
            <w:tcW w:w="0" w:type="auto"/>
            <w:vAlign w:val="center"/>
          </w:tcPr>
          <w:p w14:paraId="1707783F" w14:textId="77777777" w:rsidR="004F61D5" w:rsidRDefault="004F61D5" w:rsidP="00A10DEA">
            <w:pPr>
              <w:pStyle w:val="TableParagraph"/>
              <w:ind w:right="239"/>
              <w:jc w:val="right"/>
              <w:rPr>
                <w:sz w:val="24"/>
              </w:rPr>
            </w:pPr>
            <w:r>
              <w:rPr>
                <w:color w:val="000000"/>
              </w:rPr>
              <w:t>-0,097</w:t>
            </w:r>
          </w:p>
        </w:tc>
        <w:tc>
          <w:tcPr>
            <w:tcW w:w="0" w:type="auto"/>
            <w:vAlign w:val="center"/>
          </w:tcPr>
          <w:p w14:paraId="149CBD0A" w14:textId="77777777" w:rsidR="004F61D5" w:rsidRDefault="004F61D5" w:rsidP="00A10DEA">
            <w:pPr>
              <w:pStyle w:val="TableParagraph"/>
              <w:ind w:right="298"/>
              <w:jc w:val="right"/>
              <w:rPr>
                <w:sz w:val="24"/>
              </w:rPr>
            </w:pPr>
            <w:r>
              <w:rPr>
                <w:color w:val="000000"/>
              </w:rPr>
              <w:t>0,260</w:t>
            </w:r>
          </w:p>
        </w:tc>
        <w:tc>
          <w:tcPr>
            <w:tcW w:w="0" w:type="auto"/>
            <w:vAlign w:val="center"/>
          </w:tcPr>
          <w:p w14:paraId="5C0CEC4B" w14:textId="77777777" w:rsidR="004F61D5" w:rsidRDefault="004F61D5" w:rsidP="00A10DEA">
            <w:pPr>
              <w:pStyle w:val="TableParagraph"/>
              <w:ind w:right="270"/>
              <w:jc w:val="right"/>
              <w:rPr>
                <w:sz w:val="24"/>
              </w:rPr>
            </w:pPr>
            <w:r>
              <w:rPr>
                <w:color w:val="000000"/>
              </w:rPr>
              <w:t>-0,057</w:t>
            </w:r>
          </w:p>
        </w:tc>
        <w:tc>
          <w:tcPr>
            <w:tcW w:w="0" w:type="auto"/>
            <w:vAlign w:val="center"/>
          </w:tcPr>
          <w:p w14:paraId="76D1D3E8" w14:textId="77777777" w:rsidR="004F61D5" w:rsidRDefault="004F61D5" w:rsidP="00A10DEA">
            <w:pPr>
              <w:pStyle w:val="TableParagraph"/>
              <w:ind w:right="120"/>
              <w:jc w:val="right"/>
              <w:rPr>
                <w:sz w:val="24"/>
              </w:rPr>
            </w:pPr>
            <w:r>
              <w:rPr>
                <w:color w:val="000000"/>
              </w:rPr>
              <w:t>-0,371</w:t>
            </w:r>
          </w:p>
        </w:tc>
        <w:tc>
          <w:tcPr>
            <w:tcW w:w="0" w:type="auto"/>
            <w:vAlign w:val="center"/>
          </w:tcPr>
          <w:p w14:paraId="6ABB633D" w14:textId="77777777" w:rsidR="004F61D5" w:rsidRDefault="004F61D5" w:rsidP="00A10DEA">
            <w:pPr>
              <w:pStyle w:val="TableParagraph"/>
              <w:ind w:right="55"/>
              <w:jc w:val="right"/>
              <w:rPr>
                <w:sz w:val="24"/>
              </w:rPr>
            </w:pPr>
            <w:r>
              <w:rPr>
                <w:color w:val="000000"/>
              </w:rPr>
              <w:t>0,712</w:t>
            </w:r>
          </w:p>
        </w:tc>
      </w:tr>
      <w:tr w:rsidR="004F61D5" w14:paraId="1AB55999" w14:textId="77777777" w:rsidTr="004F61D5">
        <w:trPr>
          <w:trHeight w:val="270"/>
        </w:trPr>
        <w:tc>
          <w:tcPr>
            <w:tcW w:w="0" w:type="auto"/>
            <w:tcBorders>
              <w:bottom w:val="single" w:sz="4" w:space="0" w:color="000000"/>
            </w:tcBorders>
          </w:tcPr>
          <w:p w14:paraId="3C9BDD22" w14:textId="77777777" w:rsidR="004F61D5" w:rsidRDefault="004F61D5" w:rsidP="00A10DEA">
            <w:pPr>
              <w:pStyle w:val="TableParagraph"/>
              <w:rPr>
                <w:sz w:val="20"/>
              </w:rPr>
            </w:pPr>
          </w:p>
        </w:tc>
        <w:tc>
          <w:tcPr>
            <w:tcW w:w="0" w:type="auto"/>
            <w:tcBorders>
              <w:bottom w:val="single" w:sz="4" w:space="0" w:color="000000"/>
            </w:tcBorders>
          </w:tcPr>
          <w:p w14:paraId="427F289C" w14:textId="77777777" w:rsidR="004F61D5" w:rsidRPr="00FB0CF9" w:rsidRDefault="004F61D5" w:rsidP="00A10DEA">
            <w:pPr>
              <w:pStyle w:val="TableParagraph"/>
              <w:spacing w:line="251" w:lineRule="exact"/>
              <w:ind w:left="204"/>
              <w:rPr>
                <w:sz w:val="24"/>
                <w:lang w:val="en-US"/>
              </w:rPr>
            </w:pPr>
            <w:r>
              <w:rPr>
                <w:sz w:val="24"/>
                <w:lang w:val="en-US"/>
              </w:rPr>
              <w:t>VAIC</w:t>
            </w:r>
          </w:p>
        </w:tc>
        <w:tc>
          <w:tcPr>
            <w:tcW w:w="0" w:type="auto"/>
            <w:tcBorders>
              <w:bottom w:val="single" w:sz="4" w:space="0" w:color="000000"/>
            </w:tcBorders>
            <w:vAlign w:val="center"/>
          </w:tcPr>
          <w:p w14:paraId="2345B88C" w14:textId="77777777" w:rsidR="004F61D5" w:rsidRDefault="004F61D5" w:rsidP="00A10DEA">
            <w:pPr>
              <w:pStyle w:val="TableParagraph"/>
              <w:spacing w:line="251" w:lineRule="exact"/>
              <w:ind w:right="239"/>
              <w:jc w:val="right"/>
              <w:rPr>
                <w:sz w:val="24"/>
              </w:rPr>
            </w:pPr>
            <w:r>
              <w:rPr>
                <w:color w:val="000000"/>
              </w:rPr>
              <w:t>0,046</w:t>
            </w:r>
          </w:p>
        </w:tc>
        <w:tc>
          <w:tcPr>
            <w:tcW w:w="0" w:type="auto"/>
            <w:tcBorders>
              <w:bottom w:val="single" w:sz="4" w:space="0" w:color="000000"/>
            </w:tcBorders>
            <w:vAlign w:val="center"/>
          </w:tcPr>
          <w:p w14:paraId="44C59E76" w14:textId="77777777" w:rsidR="004F61D5" w:rsidRDefault="004F61D5" w:rsidP="00A10DEA">
            <w:pPr>
              <w:pStyle w:val="TableParagraph"/>
              <w:spacing w:line="251" w:lineRule="exact"/>
              <w:ind w:right="298"/>
              <w:jc w:val="right"/>
              <w:rPr>
                <w:sz w:val="24"/>
              </w:rPr>
            </w:pPr>
            <w:r>
              <w:rPr>
                <w:color w:val="000000"/>
              </w:rPr>
              <w:t>0,010</w:t>
            </w:r>
          </w:p>
        </w:tc>
        <w:tc>
          <w:tcPr>
            <w:tcW w:w="0" w:type="auto"/>
            <w:tcBorders>
              <w:bottom w:val="single" w:sz="4" w:space="0" w:color="000000"/>
            </w:tcBorders>
            <w:vAlign w:val="center"/>
          </w:tcPr>
          <w:p w14:paraId="6C5CF945" w14:textId="77777777" w:rsidR="004F61D5" w:rsidRDefault="004F61D5" w:rsidP="00A10DEA">
            <w:pPr>
              <w:pStyle w:val="TableParagraph"/>
              <w:spacing w:line="251" w:lineRule="exact"/>
              <w:ind w:right="270"/>
              <w:jc w:val="right"/>
              <w:rPr>
                <w:sz w:val="24"/>
              </w:rPr>
            </w:pPr>
            <w:r>
              <w:rPr>
                <w:color w:val="000000"/>
              </w:rPr>
              <w:t>0,504</w:t>
            </w:r>
          </w:p>
        </w:tc>
        <w:tc>
          <w:tcPr>
            <w:tcW w:w="0" w:type="auto"/>
            <w:tcBorders>
              <w:bottom w:val="single" w:sz="4" w:space="0" w:color="000000"/>
            </w:tcBorders>
            <w:vAlign w:val="center"/>
          </w:tcPr>
          <w:p w14:paraId="45D3B531" w14:textId="77777777" w:rsidR="004F61D5" w:rsidRDefault="004F61D5" w:rsidP="00A10DEA">
            <w:pPr>
              <w:pStyle w:val="TableParagraph"/>
              <w:spacing w:line="251" w:lineRule="exact"/>
              <w:ind w:right="114"/>
              <w:jc w:val="right"/>
              <w:rPr>
                <w:sz w:val="24"/>
              </w:rPr>
            </w:pPr>
            <w:r>
              <w:rPr>
                <w:color w:val="000000"/>
              </w:rPr>
              <w:t>4,459</w:t>
            </w:r>
          </w:p>
        </w:tc>
        <w:tc>
          <w:tcPr>
            <w:tcW w:w="0" w:type="auto"/>
            <w:tcBorders>
              <w:bottom w:val="single" w:sz="4" w:space="0" w:color="000000"/>
            </w:tcBorders>
            <w:vAlign w:val="center"/>
          </w:tcPr>
          <w:p w14:paraId="65DAECA5" w14:textId="77777777" w:rsidR="004F61D5" w:rsidRDefault="004F61D5" w:rsidP="00A10DEA">
            <w:pPr>
              <w:pStyle w:val="TableParagraph"/>
              <w:spacing w:line="251" w:lineRule="exact"/>
              <w:ind w:right="55"/>
              <w:jc w:val="right"/>
              <w:rPr>
                <w:sz w:val="24"/>
              </w:rPr>
            </w:pPr>
            <w:r>
              <w:rPr>
                <w:color w:val="000000"/>
              </w:rPr>
              <w:t>0,000</w:t>
            </w:r>
          </w:p>
        </w:tc>
      </w:tr>
    </w:tbl>
    <w:p w14:paraId="3A3B0C63" w14:textId="77777777" w:rsidR="004F61D5" w:rsidRDefault="004F61D5" w:rsidP="004F61D5">
      <w:pPr>
        <w:spacing w:line="251" w:lineRule="exact"/>
        <w:rPr>
          <w:sz w:val="24"/>
        </w:rPr>
      </w:pPr>
    </w:p>
    <w:p w14:paraId="320F73A9" w14:textId="77777777" w:rsidR="00C40A65" w:rsidRPr="00F50D24" w:rsidRDefault="00C40A65" w:rsidP="00C40A65">
      <w:pPr>
        <w:ind w:right="1"/>
        <w:jc w:val="both"/>
        <w:rPr>
          <w:b/>
          <w:sz w:val="24"/>
          <w:szCs w:val="24"/>
        </w:rPr>
      </w:pPr>
      <w:r w:rsidRPr="00F50D24">
        <w:rPr>
          <w:b/>
          <w:sz w:val="24"/>
          <w:szCs w:val="24"/>
        </w:rPr>
        <w:t>Discussion of Results</w:t>
      </w:r>
    </w:p>
    <w:p w14:paraId="7A189B1B" w14:textId="77777777" w:rsidR="004F61D5" w:rsidRDefault="004F61D5" w:rsidP="004F61D5">
      <w:pPr>
        <w:ind w:right="1"/>
        <w:jc w:val="both"/>
        <w:rPr>
          <w:b/>
          <w:sz w:val="24"/>
          <w:szCs w:val="24"/>
          <w:lang w:val="en-US"/>
        </w:rPr>
      </w:pPr>
      <w:r>
        <w:rPr>
          <w:b/>
          <w:sz w:val="24"/>
          <w:szCs w:val="24"/>
          <w:lang w:val="en-US"/>
        </w:rPr>
        <w:t>Profitability</w:t>
      </w:r>
    </w:p>
    <w:p w14:paraId="07878D54" w14:textId="44C06526" w:rsidR="009B7B92" w:rsidRDefault="004F61D5" w:rsidP="004F61D5">
      <w:pPr>
        <w:ind w:right="1"/>
        <w:jc w:val="both"/>
        <w:rPr>
          <w:bCs/>
          <w:sz w:val="24"/>
          <w:szCs w:val="24"/>
        </w:rPr>
      </w:pPr>
      <w:r w:rsidRPr="004F61D5">
        <w:rPr>
          <w:bCs/>
          <w:sz w:val="24"/>
          <w:szCs w:val="24"/>
        </w:rPr>
        <w:t xml:space="preserve">The profitability variable shows a coefficient of 0.527 in a positive direction and has a tcount value of 2.232, while the ttable value at α is 1.67303, so the tcount value is greater than ttable and has a significance value of 0.030 &lt;0.05 so it is stated that profitability has a positive effect on dividend policy. Thus, the first hypothesis which states that the variable profitability has a positive effect on dividend policy is accepted. The results of testing the first hypothesis can prove that profitability has a positive effect on dividend policy. This means that the higher the amount of profit generated by the company, the higher the amount of dividends distributed to shareholders, conversely, the smaller the amount of profit generated by the company, the smaller the amount of dividends distributed to shareholders </w:t>
      </w:r>
      <w:r w:rsidRPr="004F61D5">
        <w:rPr>
          <w:bCs/>
          <w:sz w:val="24"/>
          <w:szCs w:val="24"/>
        </w:rPr>
        <w:fldChar w:fldCharType="begin" w:fldLock="1"/>
      </w:r>
      <w:r w:rsidRPr="004F61D5">
        <w:rPr>
          <w:bCs/>
          <w:sz w:val="24"/>
          <w:szCs w:val="24"/>
        </w:rPr>
        <w:instrText>ADDIN CSL_CITATION {"citationItems":[{"id":"ITEM-1","itemData":{"DOI":"10.33087/jiubj.v20i3.1017","ISSN":"1411-8939","abstract":"This study aims to examine and analyze the effect of company size, profitability, leverage, liquidity and sales growth on dividend policy on LQ45 companies listed on the Indonesia Stock Exchange in 2016-2018. The population of this study is all companies belonging to the LQ45 index listed on the Indonesia Stock Exchange in 2016-2018. The use of samples in research using Purposive Sampling with certain criteria in order to obtain 66 data samples to be studied. The data used are secondary data sourced from financial statements. This research uses Multiple Linear Regression Analysis Test method. From these tests it can be seen that Company Size, Profitability and Leverage affect Dividend Policy. While Liquidity and Sales growth does not affect the Dividend Policy in LQ45 Companies in 2016-2018.","author":[{"dropping-particle":"","family":"Azizah","given":"Arifa Nur","non-dropping-particle":"","parse-names":false,"suffix":""},{"dropping-particle":"","family":"Dewi","given":"Riana R","non-dropping-particle":"","parse-names":false,"suffix":""},{"dropping-particle":"","family":"Siddi","given":"Purnama","non-dropping-particle":"","parse-names":false,"suffix":""}],"container-title":"Jurnal Ilmiah Universitas Batanghari Jambi","id":"ITEM-1","issue":"3","issued":{"date-parts":[["2020"]]},"page":"814","title":"Pengaruh Ukuran Perusahaan, Profitabilitas, Leverage, Likuiditas dan Sales Growth terhadap Kebijakan Dividen (Studi Empiris pada Perusahaan LQ45 Yang Terdaftar di Bursa Efek Indonesia Tahun 2016-2018)","type":"article-journal","volume":"20"},"uris":["http://www.mendeley.com/documents/?uuid=952d1dc3-63d7-47b7-9b42-73d4fb852acb"]}],"mendeley":{"formattedCitation":"(Azizah et al., 2020)","manualFormatting":"(Azizah dkk, 2020)","plainTextFormattedCitation":"(Azizah et al., 2020)","previouslyFormattedCitation":"(Azizah et al., 2020)"},"properties":{"noteIndex":0},"schema":"https://github.com/citation-style-language/schema/raw/master/csl-citation.json"}</w:instrText>
      </w:r>
      <w:r w:rsidRPr="004F61D5">
        <w:rPr>
          <w:bCs/>
          <w:sz w:val="24"/>
          <w:szCs w:val="24"/>
        </w:rPr>
        <w:fldChar w:fldCharType="separate"/>
      </w:r>
      <w:r w:rsidRPr="004F61D5">
        <w:rPr>
          <w:bCs/>
          <w:sz w:val="24"/>
          <w:szCs w:val="24"/>
        </w:rPr>
        <w:t>(Azizah dkk, 2020)</w:t>
      </w:r>
      <w:r w:rsidRPr="004F61D5">
        <w:rPr>
          <w:bCs/>
          <w:sz w:val="24"/>
          <w:szCs w:val="24"/>
        </w:rPr>
        <w:fldChar w:fldCharType="end"/>
      </w:r>
      <w:r w:rsidRPr="004F61D5">
        <w:rPr>
          <w:bCs/>
          <w:sz w:val="24"/>
          <w:szCs w:val="24"/>
        </w:rPr>
        <w:t xml:space="preserve">. The results of this study are in line with research conducted by Krisardiyansah and Amanah, (2020); Apriliyona &amp; Fun (2020); and Azizah et al (2020) which state that profitability has a positive effect on dividend policy. </w:t>
      </w:r>
    </w:p>
    <w:p w14:paraId="23F53F7E" w14:textId="77777777" w:rsidR="004F61D5" w:rsidRPr="004F61D5" w:rsidRDefault="004F61D5" w:rsidP="004F61D5">
      <w:pPr>
        <w:ind w:right="1"/>
        <w:jc w:val="both"/>
        <w:rPr>
          <w:b/>
          <w:sz w:val="24"/>
          <w:szCs w:val="24"/>
          <w:lang w:val="en-US"/>
        </w:rPr>
      </w:pPr>
    </w:p>
    <w:p w14:paraId="560F4A66" w14:textId="77777777" w:rsidR="00D82EA7" w:rsidRDefault="00D82EA7" w:rsidP="00D82EA7">
      <w:pPr>
        <w:ind w:right="1"/>
        <w:jc w:val="both"/>
        <w:rPr>
          <w:b/>
          <w:bCs/>
          <w:sz w:val="24"/>
          <w:lang w:val="en-US"/>
        </w:rPr>
      </w:pPr>
      <w:r>
        <w:rPr>
          <w:b/>
          <w:sz w:val="24"/>
          <w:lang w:val="en-US"/>
        </w:rPr>
        <w:t>Liquidity</w:t>
      </w:r>
    </w:p>
    <w:p w14:paraId="5ADADF8E" w14:textId="13867F1C" w:rsidR="009B7B92" w:rsidRDefault="00D82EA7" w:rsidP="00D82EA7">
      <w:pPr>
        <w:ind w:right="1"/>
        <w:jc w:val="both"/>
        <w:rPr>
          <w:sz w:val="24"/>
          <w:szCs w:val="24"/>
          <w:lang w:val="en-US"/>
        </w:rPr>
      </w:pPr>
      <w:r w:rsidRPr="00D82EA7">
        <w:rPr>
          <w:sz w:val="24"/>
          <w:szCs w:val="24"/>
        </w:rPr>
        <w:t>The liquidity variable shows a coefficient of 0.009 in a positive direction and has a t</w:t>
      </w:r>
      <w:r w:rsidRPr="00D82EA7">
        <w:rPr>
          <w:sz w:val="24"/>
          <w:szCs w:val="24"/>
          <w:vertAlign w:val="subscript"/>
        </w:rPr>
        <w:t>count</w:t>
      </w:r>
      <w:r w:rsidRPr="00D82EA7">
        <w:rPr>
          <w:sz w:val="24"/>
          <w:szCs w:val="24"/>
        </w:rPr>
        <w:t xml:space="preserve"> value of 0.450, while the t</w:t>
      </w:r>
      <w:r w:rsidRPr="00D82EA7">
        <w:rPr>
          <w:sz w:val="24"/>
          <w:szCs w:val="24"/>
          <w:vertAlign w:val="subscript"/>
        </w:rPr>
        <w:t>table</w:t>
      </w:r>
      <w:r w:rsidRPr="00D82EA7">
        <w:rPr>
          <w:sz w:val="24"/>
          <w:szCs w:val="24"/>
        </w:rPr>
        <w:t xml:space="preserve"> value at α is 1.67303, so the t</w:t>
      </w:r>
      <w:r w:rsidRPr="00D82EA7">
        <w:rPr>
          <w:sz w:val="24"/>
          <w:szCs w:val="24"/>
          <w:vertAlign w:val="subscript"/>
        </w:rPr>
        <w:t>count</w:t>
      </w:r>
      <w:r w:rsidRPr="00D82EA7">
        <w:rPr>
          <w:sz w:val="24"/>
          <w:szCs w:val="24"/>
        </w:rPr>
        <w:t xml:space="preserve"> value is smaller than t</w:t>
      </w:r>
      <w:r w:rsidRPr="00D82EA7">
        <w:rPr>
          <w:sz w:val="24"/>
          <w:szCs w:val="24"/>
          <w:vertAlign w:val="subscript"/>
        </w:rPr>
        <w:t xml:space="preserve">table </w:t>
      </w:r>
      <w:r w:rsidRPr="00D82EA7">
        <w:rPr>
          <w:sz w:val="24"/>
          <w:szCs w:val="24"/>
        </w:rPr>
        <w:t>and has a significance value of 0.655 &gt; 0.05 so it is stated that liquidity has no effect on dividend policy. Thus, the second hypothesis which states that the liquidity variable has a positive effect on dividend policy is rejected. The results of testing the second hypothesis can prove that liquidity has no effect on dividend policy. This means that the higher and lower the company's liquidity does not affect the dividends distributed (Apriliyona &amp; Fun, 2020). The results of this study are in accordance with the research conducted by Ginting (2018),</w:t>
      </w:r>
      <w:r>
        <w:rPr>
          <w:sz w:val="24"/>
          <w:szCs w:val="24"/>
          <w:lang w:val="en-US"/>
        </w:rPr>
        <w:t xml:space="preserve"> </w:t>
      </w:r>
      <w:r w:rsidRPr="00D82EA7">
        <w:rPr>
          <w:sz w:val="24"/>
          <w:szCs w:val="24"/>
          <w:lang w:val="en-US"/>
        </w:rPr>
        <w:fldChar w:fldCharType="begin" w:fldLock="1"/>
      </w:r>
      <w:r w:rsidRPr="00D82EA7">
        <w:rPr>
          <w:sz w:val="24"/>
          <w:szCs w:val="24"/>
          <w:lang w:val="en-US"/>
        </w:rPr>
        <w:instrText>ADDIN CSL_CITATION {"citationItems":[{"id":"ITEM-1","itemData":{"DOI":"10.31575/jp.v3i1.141","abstract":"The purpose of this research is to test the influence of Profitability variable by using Return On Equity (ROE), Leverage by using Debt to Equity Ratio (DER), and Liquidity variabel by using Current Ratio (CR), to the Dividend Payout Ratio (DPR) on manufacturing sector company are listed in Indonesian Stock Exchange in 2013-2017 periods. In this research the data used was obtained from the official IDX website. This research was included in the explanatory research using quantitative approach. Data analysis method used is regression analysis in panel data with the help of application E-Views8. Panel data regression estimatedr using Fixed Effect Model (FEM).The result showed that the profitability has a negative and significant effect on Dividend Payout Ratio, Leverage has a negative and hasn’t significant effect on Dividend Payout Ratio, while Liquidity has a positive and hasn’t significant effect on Dividend Payout Ratio.Keywords: Dividend Payout Ratio,Profitability, Leverage, LiquidityTujuan dari penelitian ini adalah untuk menguji pengaruh variabel Profitabilitas dengan menggunakan Return On Equity (ROE), Leverage dengan menggunakan Debt to Equity Ratio (DER), dan variabel likuiditas dengan menggunakan Current Ratio (CR), terhadap Kebijakan Deviden ( DPR) pada perusahaan sektor manufaktur yang terdaftar di Bursa Efek Indonesia pada periode 2013-2017. Dalam penelitian ini data yang digunakan diperoleh dari situs web resmi BEI. Penelitian ini termasuk dalam penelitian penjelasan dengan menggunakan pendekatan kuantitatif. Metode analisis data yang digunakan adalah analisis regresi data panel dengan bantuan aplikasi E-Views . Data panel regresi menggunakan Fixed Effect Model (FEM). Hasil penelitian menunjukkan bahwa profitabilitas berpengaruh negatif dan signifikan terhadap Kebijakan Deviden, leverage berpengaruh negatif dan tidak signifikan terhadap Kebijakan Deviden, sedangkan likuiditas berpengaruh positif dan tidak signifikan terhadap Kebijakan Deviden.Kata Kunci : Kebijakan Dividen, Profitabilitas, Leverage, Likuiditas ","author":[{"dropping-particle":"","family":"Bawamenewi","given":"Kasnita","non-dropping-particle":"","parse-names":false,"suffix":""},{"dropping-particle":"","family":"Afriyeni","given":"Afriyeni","non-dropping-particle":"","parse-names":false,"suffix":""}],"container-title":"Jurnal Pundi","id":"ITEM-1","issue":"1","issued":{"date-parts":[["2019"]]},"page":"27-40","title":"Pengaruh Profitabilitas, Leverage, Dan Likuiditas Terhadap Kebijakan Dividen Pada Perusahaan Manufaktur Yang Terdaftar Di Bursa Efek Indonesia","type":"article-journal","volume":"3"},"uris":["http://www.mendeley.com/documents/?uuid=60b677f6-1931-42fd-9bff-decde2131fd4"]}],"mendeley":{"formattedCitation":"(Bawamenewi &amp; Afriyeni, 2019)","manualFormatting":"Bawamenewi &amp; Afriyeni (2019)","plainTextFormattedCitation":"(Bawamenewi &amp; Afriyeni, 2019)","previouslyFormattedCitation":"(Bawamenewi &amp; Afriyeni, 2019)"},"properties":{"noteIndex":0},"schema":"https://github.com/citation-style-language/schema/raw/master/csl-citation.json"}</w:instrText>
      </w:r>
      <w:r w:rsidRPr="00D82EA7">
        <w:rPr>
          <w:sz w:val="24"/>
          <w:szCs w:val="24"/>
          <w:lang w:val="en-US"/>
        </w:rPr>
        <w:fldChar w:fldCharType="separate"/>
      </w:r>
      <w:r w:rsidRPr="00D82EA7">
        <w:rPr>
          <w:noProof/>
          <w:sz w:val="24"/>
          <w:szCs w:val="24"/>
          <w:lang w:val="en-US"/>
        </w:rPr>
        <w:t>Bawamenewi &amp; Afriyeni (2019)</w:t>
      </w:r>
      <w:r w:rsidRPr="00D82EA7">
        <w:rPr>
          <w:sz w:val="24"/>
          <w:szCs w:val="24"/>
          <w:lang w:val="en-US"/>
        </w:rPr>
        <w:fldChar w:fldCharType="end"/>
      </w:r>
      <w:r w:rsidRPr="00D82EA7">
        <w:rPr>
          <w:sz w:val="24"/>
          <w:szCs w:val="24"/>
          <w:lang w:val="en-US"/>
        </w:rPr>
        <w:t xml:space="preserve">, </w:t>
      </w:r>
      <w:r>
        <w:rPr>
          <w:sz w:val="24"/>
          <w:szCs w:val="24"/>
          <w:lang w:val="en-US"/>
        </w:rPr>
        <w:t>and</w:t>
      </w:r>
      <w:r w:rsidRPr="00D82EA7">
        <w:rPr>
          <w:sz w:val="24"/>
          <w:szCs w:val="24"/>
          <w:lang w:val="en-US"/>
        </w:rPr>
        <w:t xml:space="preserve"> </w:t>
      </w:r>
      <w:r w:rsidRPr="00D82EA7">
        <w:rPr>
          <w:sz w:val="24"/>
          <w:szCs w:val="24"/>
          <w:lang w:val="en-US"/>
        </w:rPr>
        <w:fldChar w:fldCharType="begin" w:fldLock="1"/>
      </w:r>
      <w:r w:rsidRPr="00D82EA7">
        <w:rPr>
          <w:sz w:val="24"/>
          <w:szCs w:val="24"/>
          <w:lang w:val="en-US"/>
        </w:rPr>
        <w:instrText>ADDIN CSL_CITATION {"citationItems":[{"id":"ITEM-1","itemData":{"abstract":"Penelitian ini bertujuan untuk membuktikan pengaruh ukuran perusahaan, likuiditas, profitabilitas dan leverage terhadap kebijakan dividen. Penelitian ini menggunakan pendekatan kuantitatif. Populasi dalam penelitian adalah perusahaan manufaktur industri barang konsumsi yang terdaftar di Bursa Efek Indonesia (BEI) pada periode 2016-2018. Sampel yang dikumpulkan menggunakan metode purposive sampling. Total 31 perusahaan manufaktur industri barang konsumsi ditentukan sebagai sampel. Metode analisis data yang digunakan dalam penelitian ini adalah analisis regresi linier berganda dengan menggunakan program SPSS versi 20. Hasil penelitian ini menunjukkan bahwa ukuran perusahaan (X1) dan profitabilitas (X3) berpengaruh positif dan signifikan terhadap kebijakan dividen. Sementara itu, likuiditas (X2) dan leverage (X4) tidak berpengaruh signifikan terhadap kebijakan dividen. Hal ini berarti bahwa semakin tinggi ukuran perusahaan dan profitabilitas, maka semakin tinggi pula kemampuan perusahaan untuk membayar dividen kepada pemegang sahamnya. Sedangkan kenaikan atau penurunan pada likuiditas dan leverage tidak akan berpengaruh signifikan terhadap kemampuan perusahaan dalam membayarkan dividen kepada pemegang saham. Kata","author":[{"dropping-particle":"","family":"Sudiartana","given":"I Gede Pande","non-dropping-particle":"","parse-names":false,"suffix":""},{"dropping-particle":"","family":"Yudantara","given":"I Gede Agus Pratama","non-dropping-particle":"","parse-names":false,"suffix":""}],"container-title":"JIMAT (Jurnal Ilmiah Mahasiswa Akuntansi) Universitas Pendidikan Ganesha","id":"ITEM-1","issue":"2","issued":{"date-parts":[["2020"]]},"page":"761","title":"Pengaruh Ukuran Perusahaan, Likuiditas, Profitabilitas, dan Leverage terhadap Kebijakan Dividen","type":"article-journal","volume":"11"},"uris":["http://www.mendeley.com/documents/?uuid=02bd578e-c9e7-472a-bbf6-2ba0e9bc5085"]}],"mendeley":{"formattedCitation":"(Sudiartana &amp; Yudantara, 2020)","manualFormatting":"Sudiartana &amp; Yudantara (2020)","plainTextFormattedCitation":"(Sudiartana &amp; Yudantara, 2020)","previouslyFormattedCitation":"(Sudiartana &amp; Yudantara, 2020)"},"properties":{"noteIndex":0},"schema":"https://github.com/citation-style-language/schema/raw/master/csl-citation.json"}</w:instrText>
      </w:r>
      <w:r w:rsidRPr="00D82EA7">
        <w:rPr>
          <w:sz w:val="24"/>
          <w:szCs w:val="24"/>
          <w:lang w:val="en-US"/>
        </w:rPr>
        <w:fldChar w:fldCharType="separate"/>
      </w:r>
      <w:r w:rsidRPr="00D82EA7">
        <w:rPr>
          <w:noProof/>
          <w:sz w:val="24"/>
          <w:szCs w:val="24"/>
          <w:lang w:val="en-US"/>
        </w:rPr>
        <w:t>Sudiartana &amp; Yudantara (2020)</w:t>
      </w:r>
      <w:r w:rsidRPr="00D82EA7">
        <w:rPr>
          <w:sz w:val="24"/>
          <w:szCs w:val="24"/>
          <w:lang w:val="en-US"/>
        </w:rPr>
        <w:fldChar w:fldCharType="end"/>
      </w:r>
      <w:r w:rsidRPr="00D82EA7">
        <w:rPr>
          <w:sz w:val="24"/>
          <w:szCs w:val="24"/>
          <w:lang w:val="en-US"/>
        </w:rPr>
        <w:t xml:space="preserve"> which states that liquidity has no effect on dividend policy.</w:t>
      </w:r>
    </w:p>
    <w:p w14:paraId="29C71696" w14:textId="77777777" w:rsidR="00D82EA7" w:rsidRPr="009B7B92" w:rsidRDefault="00D82EA7" w:rsidP="00D82EA7">
      <w:pPr>
        <w:ind w:right="1"/>
        <w:jc w:val="both"/>
        <w:rPr>
          <w:bCs/>
        </w:rPr>
      </w:pPr>
    </w:p>
    <w:p w14:paraId="08ADFCA2" w14:textId="77777777" w:rsidR="00D82EA7" w:rsidRDefault="00D82EA7" w:rsidP="00D82EA7">
      <w:pPr>
        <w:pStyle w:val="BodyText"/>
        <w:jc w:val="both"/>
        <w:rPr>
          <w:b/>
          <w:lang w:val="en-US"/>
        </w:rPr>
      </w:pPr>
      <w:r>
        <w:rPr>
          <w:b/>
          <w:lang w:val="en-US"/>
        </w:rPr>
        <w:t>Solvency</w:t>
      </w:r>
    </w:p>
    <w:p w14:paraId="3719C985" w14:textId="1BF10733" w:rsidR="00D82EA7" w:rsidRPr="00D82EA7" w:rsidRDefault="00D82EA7" w:rsidP="00D82EA7">
      <w:pPr>
        <w:pStyle w:val="BodyText"/>
        <w:jc w:val="both"/>
        <w:rPr>
          <w:b/>
          <w:lang w:val="en-US"/>
        </w:rPr>
      </w:pPr>
      <w:r w:rsidRPr="00D82EA7">
        <w:t>The solvency variable shows a coefficient of -0.097 in a negative direction and has a t</w:t>
      </w:r>
      <w:r w:rsidRPr="00D82EA7">
        <w:rPr>
          <w:vertAlign w:val="subscript"/>
        </w:rPr>
        <w:t>count</w:t>
      </w:r>
      <w:r w:rsidRPr="00D82EA7">
        <w:t xml:space="preserve"> value of -0.371, while the t</w:t>
      </w:r>
      <w:r w:rsidRPr="00D82EA7">
        <w:rPr>
          <w:vertAlign w:val="subscript"/>
        </w:rPr>
        <w:t>table</w:t>
      </w:r>
      <w:r w:rsidRPr="00D82EA7">
        <w:t xml:space="preserve"> value at α is 1.67303, then the t</w:t>
      </w:r>
      <w:r w:rsidRPr="00D82EA7">
        <w:rPr>
          <w:vertAlign w:val="subscript"/>
        </w:rPr>
        <w:t>count</w:t>
      </w:r>
      <w:r w:rsidRPr="00D82EA7">
        <w:t xml:space="preserve"> value is greater than t</w:t>
      </w:r>
      <w:r w:rsidRPr="00D82EA7">
        <w:rPr>
          <w:vertAlign w:val="subscript"/>
        </w:rPr>
        <w:t>table</w:t>
      </w:r>
      <w:r w:rsidRPr="00D82EA7">
        <w:t xml:space="preserve"> and has a significance value of 0.712 &gt; 0.05 so it is stated that solvency has no effect on dividend policy. Thus, the third hypothesis states that the variable liquidity has a negative effect on dividend policy is rejected. The results of testing the third hypothesis can prove that solvency has no effect on dividend policy. This means that the higher and lower the solvency of the company does not affect the dividends distributed by the company </w:t>
      </w:r>
      <w:r w:rsidRPr="00D82EA7">
        <w:fldChar w:fldCharType="begin" w:fldLock="1"/>
      </w:r>
      <w:r w:rsidRPr="00D82EA7">
        <w:instrText>ADDIN CSL_CITATION {"citationItems":[{"id":"ITEM-1","itemData":{"abstract":"The objective of the study was to provide empirical evidence about the effect of free cash flow, profitability, liquidity and leverage toward dividend policy. The population of this study was manufacture companies listed in Indonesian Stock Exchange in 2004-2007. The sampling technique used purposive sampling and the analysis method used was multiple regressions. The result of this study proved that the profitability of a company affected the dividend policy. The bigger company profit was, the bigger dividend share was. A company which had profit stability could settle on dividend payment rate certainly and signal the quality of their profit. While, free cash flow, liquidity and leverage had no effect toward dividend.","author":[{"dropping-particle":"","family":"Krisardiyansah","given":"","non-dropping-particle":"","parse-names":false,"suffix":""},{"dropping-particle":"","family":"Amanah","given":"Lailatul","non-dropping-particle":"","parse-names":false,"suffix":""}],"container-title":"Jurnal Ilmu dan Riset Akuntansi","id":"ITEM-1","issue":"7","issued":{"date-parts":[["2020"]]},"title":"Pengaruh Free Cash Flow, Profitabilitas, Likuiditas, Dan Leverage Terhadap Kebijakan Dividen","type":"article-journal","volume":"9"},"uris":["http://www.mendeley.com/documents/?uuid=c2bcb7e8-b77a-405b-a592-0c29990e7145"]}],"mendeley":{"formattedCitation":"(Krisardiyansah &amp; Amanah, 2020)","plainTextFormattedCitation":"(Krisardiyansah &amp; Amanah, 2020)","previouslyFormattedCitation":"(Krisardiyansah &amp; Amanah, 2020)"},"properties":{"noteIndex":0},"schema":"https://github.com/citation-style-language/schema/raw/master/csl-citation.json"}</w:instrText>
      </w:r>
      <w:r w:rsidRPr="00D82EA7">
        <w:fldChar w:fldCharType="separate"/>
      </w:r>
      <w:r w:rsidRPr="00D82EA7">
        <w:t>(Krisardiyansah &amp; Amanah, 2020)</w:t>
      </w:r>
      <w:r w:rsidRPr="00D82EA7">
        <w:fldChar w:fldCharType="end"/>
      </w:r>
      <w:r w:rsidRPr="00D82EA7">
        <w:t xml:space="preserve">. The results of the research are in accordance with research conducted by </w:t>
      </w:r>
      <w:r w:rsidRPr="00D82EA7">
        <w:lastRenderedPageBreak/>
        <w:t xml:space="preserve">Ginting, (2018), and Krisardiyansah &amp; Amanah, (2020) which state that solvency has no effect on dividend policy. </w:t>
      </w:r>
    </w:p>
    <w:p w14:paraId="5402257C" w14:textId="70C9FC1A" w:rsidR="00C40A65" w:rsidRDefault="00C40A65" w:rsidP="00C40A65">
      <w:pPr>
        <w:pStyle w:val="BodyText"/>
        <w:ind w:firstLine="720"/>
        <w:jc w:val="both"/>
        <w:rPr>
          <w:lang w:val="en-US"/>
        </w:rPr>
      </w:pPr>
    </w:p>
    <w:p w14:paraId="59FDB562" w14:textId="77777777" w:rsidR="002575E5" w:rsidRDefault="002575E5" w:rsidP="002575E5">
      <w:pPr>
        <w:ind w:right="1"/>
        <w:jc w:val="both"/>
        <w:rPr>
          <w:b/>
        </w:rPr>
      </w:pPr>
      <w:r w:rsidRPr="002575E5">
        <w:rPr>
          <w:b/>
        </w:rPr>
        <w:t>Intellectual Capital</w:t>
      </w:r>
    </w:p>
    <w:p w14:paraId="094BBAB4" w14:textId="589B544B" w:rsidR="002575E5" w:rsidRPr="002575E5" w:rsidRDefault="002575E5" w:rsidP="002575E5">
      <w:pPr>
        <w:ind w:right="1"/>
        <w:jc w:val="both"/>
        <w:rPr>
          <w:b/>
        </w:rPr>
      </w:pPr>
      <w:r w:rsidRPr="002575E5">
        <w:rPr>
          <w:sz w:val="24"/>
          <w:szCs w:val="24"/>
        </w:rPr>
        <w:t xml:space="preserve">The intellectual capital variable shows a coefficient of 0.046 in a positive direction and has a tcount value of 4.459, while the ttable value at α is 1.67303, so the tcount value is greater than ttable and has a significance value of 0.000 &lt;0.05 so it is stated that intellectual capital has an effect positive towards dividend policy. Thus, the fourth hypothesis which states that the intellectual capital variable is positive on dividend policy is accepted. The results of testing the third hypothesis can prove that intellectual capital has a positive effect on dividend policy. This means that the higher the intellectual capital, the dividends given will be high and vice versa if the company has low intellectual capital, it will indicate that the company will distribute dividends with low </w:t>
      </w:r>
      <w:r w:rsidRPr="002575E5">
        <w:rPr>
          <w:sz w:val="24"/>
          <w:szCs w:val="24"/>
        </w:rPr>
        <w:fldChar w:fldCharType="begin" w:fldLock="1"/>
      </w:r>
      <w:r w:rsidRPr="002575E5">
        <w:rPr>
          <w:sz w:val="24"/>
          <w:szCs w:val="24"/>
        </w:rPr>
        <w:instrText>ADDIN CSL_CITATION {"citationItems":[{"id":"ITEM-1","itemData":{"DOI":"10.1108/JIC-11-2020-0354","ISSN":"17587468","abstract":"Purpose: The paper aims to empirically test the impact of intellectual capital (IC) on a firm's dividend policy. Further, the authors investigate the moderator effect of Chief Executive Officer's (CEO) characteristics (gender, age and education) on this relationship. Design/methodology/approach: The research was carried out on the main Chinese listed companies reported on the CSI 100 Index from 2016 to 2018. To assess the impact of IC on the dividend policy and then the moderating effect of the characteristics of the CEOs, the authors used a fixed effects panel data analysis. Findings: The results suggest a positive impact of IC on dividend policies. In addition, this relationship is enhanced when the CEO is a woman, and the lower the age the higher the effect is. Originality/value: To the best of the authors' knowledge, this is the first empirical study that explores the effect of IC on a firm's dividend policy in an emerging country. Specifically, this paper demonstrates the impact that IC has on the creation of shareholder value. Furthermore, considering the characteristics of the CEOs, this study tests new moderating effects in the relationship between IC and value creation and highlights how IC, dividends and CEO characteristics can be useful in aligning interests between ownership and management, enriching the debate on agency theory.","author":[{"dropping-particle":"","family":"Battisti","given":"Enrico","non-dropping-particle":"","parse-names":false,"suffix":""},{"dropping-particle":"","family":"Nirino","given":"Niccolò","non-dropping-particle":"","parse-names":false,"suffix":""},{"dropping-particle":"","family":"Christofi","given":"Michael","non-dropping-particle":"","parse-names":false,"suffix":""},{"dropping-particle":"","family":"Vrontis","given":"Demetris","non-dropping-particle":"","parse-names":false,"suffix":""}],"container-title":"Journal of Intellectual Capital","id":"ITEM-1","issue":"1","issued":{"date-parts":[["2022"]]},"page":"127-143","title":"Intellectual capital and dividend policy: the effect of CEO characteristics","type":"article-journal","volume":"23"},"uris":["http://www.mendeley.com/documents/?uuid=f8314afb-2ec3-40c3-b976-604efda1d2aa"]}],"mendeley":{"formattedCitation":"(Battisti et al., 2022)","manualFormatting":"(Battisti dkk, 2022)","plainTextFormattedCitation":"(Battisti et al., 2022)","previouslyFormattedCitation":"(Battisti et al., 2022)"},"properties":{"noteIndex":0},"schema":"https://github.com/citation-style-language/schema/raw/master/csl-citation.json"}</w:instrText>
      </w:r>
      <w:r w:rsidRPr="002575E5">
        <w:rPr>
          <w:sz w:val="24"/>
          <w:szCs w:val="24"/>
        </w:rPr>
        <w:fldChar w:fldCharType="separate"/>
      </w:r>
      <w:r w:rsidRPr="002575E5">
        <w:rPr>
          <w:sz w:val="24"/>
          <w:szCs w:val="24"/>
        </w:rPr>
        <w:t>(Battisti dkk, 2022)</w:t>
      </w:r>
      <w:r w:rsidRPr="002575E5">
        <w:rPr>
          <w:sz w:val="24"/>
          <w:szCs w:val="24"/>
        </w:rPr>
        <w:fldChar w:fldCharType="end"/>
      </w:r>
      <w:r w:rsidRPr="002575E5">
        <w:rPr>
          <w:sz w:val="24"/>
          <w:szCs w:val="24"/>
        </w:rPr>
        <w:t>. The results of this study are in line with research conducted by Battisti et al, (2022) which states that intellectual capital has a positive effect on dividend policy.</w:t>
      </w:r>
    </w:p>
    <w:p w14:paraId="39463EDE" w14:textId="77777777" w:rsidR="002575E5" w:rsidRPr="00BD5623" w:rsidRDefault="002575E5" w:rsidP="002575E5">
      <w:pPr>
        <w:spacing w:line="251" w:lineRule="exact"/>
        <w:rPr>
          <w:b/>
          <w:bCs/>
          <w:sz w:val="24"/>
          <w:lang w:val="en-US"/>
        </w:rPr>
      </w:pPr>
    </w:p>
    <w:p w14:paraId="7D86709B" w14:textId="77777777" w:rsidR="009B7B92" w:rsidRPr="005A4398" w:rsidRDefault="00E45AAD" w:rsidP="005A4398">
      <w:pPr>
        <w:tabs>
          <w:tab w:val="left" w:pos="1236"/>
        </w:tabs>
        <w:rPr>
          <w:b/>
          <w:sz w:val="24"/>
        </w:rPr>
      </w:pPr>
      <w:r w:rsidRPr="005A4398">
        <w:rPr>
          <w:b/>
          <w:sz w:val="24"/>
        </w:rPr>
        <w:t>CONCLUSION</w:t>
      </w:r>
    </w:p>
    <w:p w14:paraId="70C378B0" w14:textId="77777777" w:rsidR="005A4398" w:rsidRPr="005A4398" w:rsidRDefault="005A4398" w:rsidP="005A4398">
      <w:pPr>
        <w:pStyle w:val="BodyText"/>
        <w:jc w:val="both"/>
        <w:rPr>
          <w:szCs w:val="22"/>
        </w:rPr>
      </w:pPr>
      <w:r w:rsidRPr="005A4398">
        <w:rPr>
          <w:szCs w:val="22"/>
        </w:rPr>
        <w:t>1. Profitability has a positive effect on dividend policy.</w:t>
      </w:r>
    </w:p>
    <w:p w14:paraId="15F9EE67" w14:textId="77777777" w:rsidR="005A4398" w:rsidRPr="005A4398" w:rsidRDefault="005A4398" w:rsidP="005A4398">
      <w:pPr>
        <w:pStyle w:val="BodyText"/>
        <w:jc w:val="both"/>
        <w:rPr>
          <w:szCs w:val="22"/>
        </w:rPr>
      </w:pPr>
      <w:r w:rsidRPr="005A4398">
        <w:rPr>
          <w:szCs w:val="22"/>
        </w:rPr>
        <w:t>2. Liquidity has no effect on dividend policy.</w:t>
      </w:r>
    </w:p>
    <w:p w14:paraId="303B9FA3" w14:textId="77777777" w:rsidR="005A4398" w:rsidRPr="005A4398" w:rsidRDefault="005A4398" w:rsidP="005A4398">
      <w:pPr>
        <w:pStyle w:val="BodyText"/>
        <w:jc w:val="both"/>
        <w:rPr>
          <w:szCs w:val="22"/>
        </w:rPr>
      </w:pPr>
      <w:r w:rsidRPr="005A4398">
        <w:rPr>
          <w:szCs w:val="22"/>
        </w:rPr>
        <w:t>3. Solvability has no effect on dividend policy.</w:t>
      </w:r>
    </w:p>
    <w:p w14:paraId="405D5266" w14:textId="77777777" w:rsidR="005A4398" w:rsidRDefault="005A4398" w:rsidP="005A4398">
      <w:pPr>
        <w:pStyle w:val="BodyText"/>
        <w:jc w:val="both"/>
        <w:rPr>
          <w:szCs w:val="22"/>
        </w:rPr>
      </w:pPr>
      <w:r w:rsidRPr="005A4398">
        <w:rPr>
          <w:szCs w:val="22"/>
        </w:rPr>
        <w:t>4. Intellectual capital has a positive effect on dividend policy.</w:t>
      </w:r>
    </w:p>
    <w:p w14:paraId="28647155" w14:textId="77777777" w:rsidR="005A4398" w:rsidRDefault="005A4398" w:rsidP="00C40A65">
      <w:pPr>
        <w:pStyle w:val="BodyText"/>
        <w:jc w:val="both"/>
        <w:rPr>
          <w:b/>
          <w:bCs/>
        </w:rPr>
      </w:pPr>
    </w:p>
    <w:p w14:paraId="3C8B137F" w14:textId="77777777" w:rsidR="005A4398" w:rsidRDefault="00C40A65" w:rsidP="005A4398">
      <w:pPr>
        <w:pStyle w:val="BodyText"/>
        <w:jc w:val="both"/>
        <w:rPr>
          <w:b/>
          <w:bCs/>
        </w:rPr>
      </w:pPr>
      <w:r w:rsidRPr="00F50D24">
        <w:rPr>
          <w:b/>
          <w:bCs/>
        </w:rPr>
        <w:t>Suggestion</w:t>
      </w:r>
    </w:p>
    <w:p w14:paraId="24B64A70" w14:textId="7B6D0A7C" w:rsidR="00C40A65" w:rsidRDefault="005A4398" w:rsidP="005A4398">
      <w:pPr>
        <w:pStyle w:val="BodyText"/>
        <w:jc w:val="both"/>
      </w:pPr>
      <w:r w:rsidRPr="005A4398">
        <w:t>Expanding the object of research. The research object can be expanded not only to health and pharmaceutical companies in the healthcare sector, but also to research all companies on the Indonesia Stock Exchange (IDX) by adding other company sectors and increasing the research time span.</w:t>
      </w:r>
      <w:r>
        <w:rPr>
          <w:lang w:val="en-US"/>
        </w:rPr>
        <w:t xml:space="preserve"> Moreover, f</w:t>
      </w:r>
      <w:r w:rsidRPr="005A4398">
        <w:t>urther research can add other independent variables that can affect dividend policy, such as company growth and information asymmetry.</w:t>
      </w:r>
    </w:p>
    <w:p w14:paraId="00526C1B" w14:textId="77777777" w:rsidR="00F73859" w:rsidRDefault="00F73859" w:rsidP="00C40A65">
      <w:pPr>
        <w:pStyle w:val="Heading1"/>
        <w:ind w:left="0"/>
        <w:jc w:val="left"/>
      </w:pPr>
    </w:p>
    <w:p w14:paraId="7509EADF" w14:textId="77777777" w:rsidR="00C40A65" w:rsidRPr="00FD2A17" w:rsidRDefault="00C40A65" w:rsidP="00C40A65">
      <w:pPr>
        <w:pStyle w:val="Heading1"/>
        <w:ind w:left="0"/>
        <w:contextualSpacing/>
        <w:jc w:val="left"/>
        <w:rPr>
          <w:color w:val="000000" w:themeColor="text1"/>
          <w:lang w:val="en-US"/>
        </w:rPr>
      </w:pPr>
      <w:r w:rsidRPr="00FD2A17">
        <w:rPr>
          <w:color w:val="000000" w:themeColor="text1"/>
          <w:lang w:val="en-US"/>
        </w:rPr>
        <w:t>REFERENCES</w:t>
      </w:r>
    </w:p>
    <w:p w14:paraId="18846D85" w14:textId="77777777" w:rsidR="00C40A65" w:rsidRPr="00FD2A17" w:rsidRDefault="00C40A65" w:rsidP="00C40A65">
      <w:pPr>
        <w:pStyle w:val="BodyText"/>
        <w:contextualSpacing/>
        <w:rPr>
          <w:b/>
          <w:color w:val="000000" w:themeColor="text1"/>
        </w:rPr>
      </w:pPr>
    </w:p>
    <w:p w14:paraId="00E34921" w14:textId="77777777" w:rsidR="005F5175" w:rsidRPr="00885CD5" w:rsidRDefault="005F5175" w:rsidP="005F5175">
      <w:pPr>
        <w:adjustRightInd w:val="0"/>
        <w:ind w:left="480" w:hanging="480"/>
        <w:jc w:val="both"/>
        <w:rPr>
          <w:noProof/>
          <w:sz w:val="24"/>
          <w:szCs w:val="24"/>
        </w:rPr>
      </w:pPr>
      <w:r>
        <w:rPr>
          <w:b/>
          <w:bCs/>
          <w:sz w:val="24"/>
          <w:lang w:val="en-US"/>
        </w:rPr>
        <w:fldChar w:fldCharType="begin" w:fldLock="1"/>
      </w:r>
      <w:r>
        <w:rPr>
          <w:b/>
          <w:bCs/>
          <w:sz w:val="24"/>
          <w:lang w:val="en-US"/>
        </w:rPr>
        <w:instrText xml:space="preserve">ADDIN Mendeley Bibliography CSL_BIBLIOGRAPHY </w:instrText>
      </w:r>
      <w:r>
        <w:rPr>
          <w:b/>
          <w:bCs/>
          <w:sz w:val="24"/>
          <w:lang w:val="en-US"/>
        </w:rPr>
        <w:fldChar w:fldCharType="separate"/>
      </w:r>
      <w:r w:rsidRPr="00885CD5">
        <w:rPr>
          <w:noProof/>
          <w:sz w:val="24"/>
          <w:szCs w:val="24"/>
        </w:rPr>
        <w:t xml:space="preserve">Apriliyona, N., &amp; Asyik, N. F. (2020). Pengaruh likuiditas, ukuran perusahaan, leverage , dan profitabilitas terhadap kebijakan deviden. </w:t>
      </w:r>
      <w:r w:rsidRPr="00885CD5">
        <w:rPr>
          <w:i/>
          <w:iCs/>
          <w:noProof/>
          <w:sz w:val="24"/>
          <w:szCs w:val="24"/>
        </w:rPr>
        <w:t>Jurnal Ilmu Dan Riset Akuntansi</w:t>
      </w:r>
      <w:r w:rsidRPr="00885CD5">
        <w:rPr>
          <w:noProof/>
          <w:sz w:val="24"/>
          <w:szCs w:val="24"/>
        </w:rPr>
        <w:t xml:space="preserve">, </w:t>
      </w:r>
      <w:r w:rsidRPr="00885CD5">
        <w:rPr>
          <w:i/>
          <w:iCs/>
          <w:noProof/>
          <w:sz w:val="24"/>
          <w:szCs w:val="24"/>
        </w:rPr>
        <w:t>9</w:t>
      </w:r>
      <w:r w:rsidRPr="00885CD5">
        <w:rPr>
          <w:noProof/>
          <w:sz w:val="24"/>
          <w:szCs w:val="24"/>
        </w:rPr>
        <w:t>, 1–22.</w:t>
      </w:r>
    </w:p>
    <w:p w14:paraId="2A792DD6" w14:textId="3F5F61D7" w:rsidR="005F5175" w:rsidRDefault="005F5175" w:rsidP="005F5175">
      <w:pPr>
        <w:adjustRightInd w:val="0"/>
        <w:ind w:left="480" w:hanging="480"/>
        <w:jc w:val="both"/>
        <w:rPr>
          <w:noProof/>
          <w:sz w:val="24"/>
          <w:szCs w:val="24"/>
        </w:rPr>
      </w:pPr>
      <w:r w:rsidRPr="00885CD5">
        <w:rPr>
          <w:noProof/>
          <w:sz w:val="24"/>
          <w:szCs w:val="24"/>
        </w:rPr>
        <w:t xml:space="preserve">Azizah, A. N., Dewi, R. R., &amp; Siddi, P. (2020). Pengaruh Ukuran Perusahaan, Profitabilitas, Leverage, Likuiditas dan Sales Growth terhadap Kebijakan Dividen (Studi Empiris pada Perusahaan LQ45 Yang Terdaftar di Bursa Efek Indonesia Tahun 2016-2018). </w:t>
      </w:r>
      <w:r w:rsidRPr="00885CD5">
        <w:rPr>
          <w:i/>
          <w:iCs/>
          <w:noProof/>
          <w:sz w:val="24"/>
          <w:szCs w:val="24"/>
        </w:rPr>
        <w:t>Jurnal Ilmiah Universitas Batanghari Jambi</w:t>
      </w:r>
      <w:r w:rsidRPr="00885CD5">
        <w:rPr>
          <w:noProof/>
          <w:sz w:val="24"/>
          <w:szCs w:val="24"/>
        </w:rPr>
        <w:t xml:space="preserve">, </w:t>
      </w:r>
      <w:r w:rsidRPr="00885CD5">
        <w:rPr>
          <w:i/>
          <w:iCs/>
          <w:noProof/>
          <w:sz w:val="24"/>
          <w:szCs w:val="24"/>
        </w:rPr>
        <w:t>20</w:t>
      </w:r>
      <w:r w:rsidRPr="00885CD5">
        <w:rPr>
          <w:noProof/>
          <w:sz w:val="24"/>
          <w:szCs w:val="24"/>
        </w:rPr>
        <w:t>(3), 814. https://doi.org/10.33087/jiubj.v20i3.1017</w:t>
      </w:r>
    </w:p>
    <w:p w14:paraId="49395769" w14:textId="6B37F9C5" w:rsidR="008502FB" w:rsidRPr="00885CD5" w:rsidRDefault="008502FB" w:rsidP="005F5175">
      <w:pPr>
        <w:adjustRightInd w:val="0"/>
        <w:ind w:left="480" w:hanging="480"/>
        <w:jc w:val="both"/>
        <w:rPr>
          <w:noProof/>
          <w:sz w:val="24"/>
          <w:szCs w:val="24"/>
        </w:rPr>
      </w:pPr>
      <w:r w:rsidRPr="008502FB">
        <w:rPr>
          <w:noProof/>
          <w:sz w:val="24"/>
          <w:szCs w:val="24"/>
        </w:rPr>
        <w:t>Azizah, S. N., Apriliani, W., Santoso, S. B., &amp; Hapsari, I. (2021). ANALYSIS OF THE EFFECT OF TPF, CAR, NPL, AND INFLATION AND BI RATE ON LOAN DISTRIBUTION:(Empirical Study on Commercial Banks Listed on the Indonesia Stock Exchange for the Period 2017-2019). International Journal Accounting Tax and Business, 2(2), 26-34.</w:t>
      </w:r>
    </w:p>
    <w:p w14:paraId="05E04316"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Barney, J. (1991). Firm Resources and Sustained Competitive Advantage. </w:t>
      </w:r>
      <w:r w:rsidRPr="00885CD5">
        <w:rPr>
          <w:i/>
          <w:iCs/>
          <w:noProof/>
          <w:sz w:val="24"/>
          <w:szCs w:val="24"/>
        </w:rPr>
        <w:t>Journal of Management</w:t>
      </w:r>
      <w:r w:rsidRPr="00885CD5">
        <w:rPr>
          <w:noProof/>
          <w:sz w:val="24"/>
          <w:szCs w:val="24"/>
        </w:rPr>
        <w:t xml:space="preserve">, </w:t>
      </w:r>
      <w:r w:rsidRPr="00885CD5">
        <w:rPr>
          <w:i/>
          <w:iCs/>
          <w:noProof/>
          <w:sz w:val="24"/>
          <w:szCs w:val="24"/>
        </w:rPr>
        <w:t>17</w:t>
      </w:r>
      <w:r w:rsidRPr="00885CD5">
        <w:rPr>
          <w:noProof/>
          <w:sz w:val="24"/>
          <w:szCs w:val="24"/>
        </w:rPr>
        <w:t>(1), 99–120.</w:t>
      </w:r>
    </w:p>
    <w:p w14:paraId="077A67E4"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Barney, J. B., Ketchen, D. J., &amp; Wright, M. (2011). The future of resource-based theory: Revitalization or decline? </w:t>
      </w:r>
      <w:r w:rsidRPr="00885CD5">
        <w:rPr>
          <w:i/>
          <w:iCs/>
          <w:noProof/>
          <w:sz w:val="24"/>
          <w:szCs w:val="24"/>
        </w:rPr>
        <w:t>Journal of Management</w:t>
      </w:r>
      <w:r w:rsidRPr="00885CD5">
        <w:rPr>
          <w:noProof/>
          <w:sz w:val="24"/>
          <w:szCs w:val="24"/>
        </w:rPr>
        <w:t xml:space="preserve">, </w:t>
      </w:r>
      <w:r w:rsidRPr="00885CD5">
        <w:rPr>
          <w:i/>
          <w:iCs/>
          <w:noProof/>
          <w:sz w:val="24"/>
          <w:szCs w:val="24"/>
        </w:rPr>
        <w:t>37</w:t>
      </w:r>
      <w:r w:rsidRPr="00885CD5">
        <w:rPr>
          <w:noProof/>
          <w:sz w:val="24"/>
          <w:szCs w:val="24"/>
        </w:rPr>
        <w:t>(5), 1299–1315. https://doi.org/10.1177/0149206310391805</w:t>
      </w:r>
    </w:p>
    <w:p w14:paraId="7DF05D32"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Battisti, E., Nirino, N., Christofi, M., &amp; Vrontis, D. (2022). Intellectual capital and dividend policy: the effect of CEO characteristics. </w:t>
      </w:r>
      <w:r w:rsidRPr="00885CD5">
        <w:rPr>
          <w:i/>
          <w:iCs/>
          <w:noProof/>
          <w:sz w:val="24"/>
          <w:szCs w:val="24"/>
        </w:rPr>
        <w:t>Journal of Intellectual Capital</w:t>
      </w:r>
      <w:r w:rsidRPr="00885CD5">
        <w:rPr>
          <w:noProof/>
          <w:sz w:val="24"/>
          <w:szCs w:val="24"/>
        </w:rPr>
        <w:t xml:space="preserve">, </w:t>
      </w:r>
      <w:r w:rsidRPr="00885CD5">
        <w:rPr>
          <w:i/>
          <w:iCs/>
          <w:noProof/>
          <w:sz w:val="24"/>
          <w:szCs w:val="24"/>
        </w:rPr>
        <w:t>23</w:t>
      </w:r>
      <w:r w:rsidRPr="00885CD5">
        <w:rPr>
          <w:noProof/>
          <w:sz w:val="24"/>
          <w:szCs w:val="24"/>
        </w:rPr>
        <w:t>(1), 127–</w:t>
      </w:r>
      <w:r w:rsidRPr="00885CD5">
        <w:rPr>
          <w:noProof/>
          <w:sz w:val="24"/>
          <w:szCs w:val="24"/>
        </w:rPr>
        <w:lastRenderedPageBreak/>
        <w:t>143. https://doi.org/10.1108/JIC-11-2020-0354</w:t>
      </w:r>
    </w:p>
    <w:p w14:paraId="093434AD"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Bawamenewi, K., &amp; Afriyeni, A. (2019). Pengaruh Profitabilitas, Leverage, Dan Likuiditas Terhadap Kebijakan Dividen Pada Perusahaan Manufaktur Yang Terdaftar Di Bursa Efek Indonesia. </w:t>
      </w:r>
      <w:r w:rsidRPr="00885CD5">
        <w:rPr>
          <w:i/>
          <w:iCs/>
          <w:noProof/>
          <w:sz w:val="24"/>
          <w:szCs w:val="24"/>
        </w:rPr>
        <w:t>Jurnal Pundi</w:t>
      </w:r>
      <w:r w:rsidRPr="00885CD5">
        <w:rPr>
          <w:noProof/>
          <w:sz w:val="24"/>
          <w:szCs w:val="24"/>
        </w:rPr>
        <w:t xml:space="preserve">, </w:t>
      </w:r>
      <w:r w:rsidRPr="00885CD5">
        <w:rPr>
          <w:i/>
          <w:iCs/>
          <w:noProof/>
          <w:sz w:val="24"/>
          <w:szCs w:val="24"/>
        </w:rPr>
        <w:t>3</w:t>
      </w:r>
      <w:r w:rsidRPr="00885CD5">
        <w:rPr>
          <w:noProof/>
          <w:sz w:val="24"/>
          <w:szCs w:val="24"/>
        </w:rPr>
        <w:t>(1), 27–40. https://doi.org/10.31575/jp.v3i1.141</w:t>
      </w:r>
    </w:p>
    <w:p w14:paraId="32D58320"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Dewi, M. G., Hakim, M. Z., &amp; Abbas, D. S. (2021). Pengaruh Profitabilitas, Kebijakan Hutang Dan Pertumbuhan Perusahaan Terhadap Kebijakan Dividen (Pada Perusahaan Sektor Industri Dasar Dan Kimia Tahun 2017-2019). </w:t>
      </w:r>
      <w:r w:rsidRPr="00885CD5">
        <w:rPr>
          <w:i/>
          <w:iCs/>
          <w:noProof/>
          <w:sz w:val="24"/>
          <w:szCs w:val="24"/>
        </w:rPr>
        <w:t>UM Jember Press</w:t>
      </w:r>
      <w:r w:rsidRPr="00885CD5">
        <w:rPr>
          <w:noProof/>
          <w:sz w:val="24"/>
          <w:szCs w:val="24"/>
        </w:rPr>
        <w:t>, 110–120. https://doi.org/10.32528/psneb.v0i0.5159</w:t>
      </w:r>
    </w:p>
    <w:p w14:paraId="441437E5" w14:textId="77777777" w:rsidR="005F5175" w:rsidRDefault="005F5175" w:rsidP="005F5175">
      <w:pPr>
        <w:adjustRightInd w:val="0"/>
        <w:ind w:left="480" w:hanging="480"/>
        <w:jc w:val="both"/>
        <w:rPr>
          <w:noProof/>
          <w:sz w:val="24"/>
          <w:szCs w:val="24"/>
        </w:rPr>
      </w:pPr>
      <w:r w:rsidRPr="00885CD5">
        <w:rPr>
          <w:noProof/>
          <w:sz w:val="24"/>
          <w:szCs w:val="24"/>
        </w:rPr>
        <w:t xml:space="preserve">Ginting, S. (2018). Pengaruh Likuiditas, Profitabilitas. Dan Leverage Terhadap Kebijakan Deviden Pada Perusahaan LQ46 Yang Terdaftar Di Bursa Efek Indonesia Periode 2012-2016. </w:t>
      </w:r>
      <w:r w:rsidRPr="00885CD5">
        <w:rPr>
          <w:i/>
          <w:iCs/>
          <w:noProof/>
          <w:sz w:val="24"/>
          <w:szCs w:val="24"/>
        </w:rPr>
        <w:t>Jwem Stie Mikroskil</w:t>
      </w:r>
      <w:r w:rsidRPr="00885CD5">
        <w:rPr>
          <w:noProof/>
          <w:sz w:val="24"/>
          <w:szCs w:val="24"/>
        </w:rPr>
        <w:t xml:space="preserve">, </w:t>
      </w:r>
      <w:r w:rsidRPr="00885CD5">
        <w:rPr>
          <w:i/>
          <w:iCs/>
          <w:noProof/>
          <w:sz w:val="24"/>
          <w:szCs w:val="24"/>
        </w:rPr>
        <w:t>8</w:t>
      </w:r>
      <w:r w:rsidRPr="00885CD5">
        <w:rPr>
          <w:noProof/>
          <w:sz w:val="24"/>
          <w:szCs w:val="24"/>
        </w:rPr>
        <w:t>(2), 195–204.</w:t>
      </w:r>
    </w:p>
    <w:p w14:paraId="56B11ACA" w14:textId="77777777" w:rsidR="005F5175" w:rsidRPr="00022139" w:rsidRDefault="005F5175" w:rsidP="005F5175">
      <w:pPr>
        <w:adjustRightInd w:val="0"/>
        <w:ind w:left="480" w:hanging="480"/>
        <w:jc w:val="both"/>
        <w:rPr>
          <w:noProof/>
          <w:sz w:val="28"/>
          <w:szCs w:val="28"/>
        </w:rPr>
      </w:pPr>
      <w:r w:rsidRPr="00022139">
        <w:rPr>
          <w:sz w:val="24"/>
          <w:szCs w:val="24"/>
        </w:rPr>
        <w:t>Hery. 2016. Analisis Laporan Keuangan Integrated and Comprehensive Edition. Penerbit: PT. Grasindo. Jakarta.</w:t>
      </w:r>
    </w:p>
    <w:p w14:paraId="635DA5FA"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Hwee, T. S., William, W., Stephani, S., Vera, V., Supantri, D., Wynne, W., &amp; Prasetya, D. (2019). Pengaruh Rasio Solvabilitas, Rasio Profitabilitas, Likuiditas Dan Laba Per Saham Terhadap Kebijakan Dividen Pada Perusahaan Consumer Goodsyang Terdaftar Pada Bursa Efek Indonesia (Bei) Periode 2013-2017. </w:t>
      </w:r>
      <w:r w:rsidRPr="00885CD5">
        <w:rPr>
          <w:i/>
          <w:iCs/>
          <w:noProof/>
          <w:sz w:val="24"/>
          <w:szCs w:val="24"/>
        </w:rPr>
        <w:t>Jurnal PLANS : Penelitian Ilmu Manajemen Dan Bisnis</w:t>
      </w:r>
      <w:r w:rsidRPr="00885CD5">
        <w:rPr>
          <w:noProof/>
          <w:sz w:val="24"/>
          <w:szCs w:val="24"/>
        </w:rPr>
        <w:t xml:space="preserve">, </w:t>
      </w:r>
      <w:r w:rsidRPr="00885CD5">
        <w:rPr>
          <w:i/>
          <w:iCs/>
          <w:noProof/>
          <w:sz w:val="24"/>
          <w:szCs w:val="24"/>
        </w:rPr>
        <w:t>14</w:t>
      </w:r>
      <w:r w:rsidRPr="00885CD5">
        <w:rPr>
          <w:noProof/>
          <w:sz w:val="24"/>
          <w:szCs w:val="24"/>
        </w:rPr>
        <w:t>(1), 1. https://doi.org/10.24114/plans.v14i1.13322</w:t>
      </w:r>
    </w:p>
    <w:p w14:paraId="1AB5458F"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Ismiati, P. I., &amp; Yuniati, T. (2017). Pengaruh Kepemilikan Manajerial, Kepemilikan Institusional dan Kebijakan Hutang terhadap Kebijakan Dividen. </w:t>
      </w:r>
      <w:r w:rsidRPr="00885CD5">
        <w:rPr>
          <w:i/>
          <w:iCs/>
          <w:noProof/>
          <w:sz w:val="24"/>
          <w:szCs w:val="24"/>
        </w:rPr>
        <w:t>Jurnal Ilmu Dan Riset Managemen</w:t>
      </w:r>
      <w:r w:rsidRPr="00885CD5">
        <w:rPr>
          <w:noProof/>
          <w:sz w:val="24"/>
          <w:szCs w:val="24"/>
        </w:rPr>
        <w:t xml:space="preserve">, </w:t>
      </w:r>
      <w:r w:rsidRPr="00885CD5">
        <w:rPr>
          <w:i/>
          <w:iCs/>
          <w:noProof/>
          <w:sz w:val="24"/>
          <w:szCs w:val="24"/>
        </w:rPr>
        <w:t>6</w:t>
      </w:r>
      <w:r w:rsidRPr="00885CD5">
        <w:rPr>
          <w:noProof/>
          <w:sz w:val="24"/>
          <w:szCs w:val="24"/>
        </w:rPr>
        <w:t>(3), 1–19.</w:t>
      </w:r>
    </w:p>
    <w:p w14:paraId="373A3B58"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Jayanti, K. W. D., Sunarwijaya, I. K., &amp; Adiyadnya, M. S. P. (2019). Pengaruh likuiditas, profitabilitas, leverage , pertumbuhan, ukuran perusahaan terhadap kebijakan dividen perusahaan perbankan di indonesia. </w:t>
      </w:r>
      <w:r w:rsidRPr="00885CD5">
        <w:rPr>
          <w:i/>
          <w:iCs/>
          <w:noProof/>
          <w:sz w:val="24"/>
          <w:szCs w:val="24"/>
        </w:rPr>
        <w:t>KARMA (Karya Riset Mahasiswa Akuntansi)</w:t>
      </w:r>
      <w:r w:rsidRPr="00885CD5">
        <w:rPr>
          <w:noProof/>
          <w:sz w:val="24"/>
          <w:szCs w:val="24"/>
        </w:rPr>
        <w:t>, 309–317.</w:t>
      </w:r>
    </w:p>
    <w:p w14:paraId="500361E1"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Krisardiyansah, &amp; Amanah, L. (2020). Pengaruh Free Cash Flow, Profitabilitas, Likuiditas, Dan Leverage Terhadap Kebijakan Dividen. </w:t>
      </w:r>
      <w:r w:rsidRPr="00885CD5">
        <w:rPr>
          <w:i/>
          <w:iCs/>
          <w:noProof/>
          <w:sz w:val="24"/>
          <w:szCs w:val="24"/>
        </w:rPr>
        <w:t>Jurnal Ilmu Dan Riset Akuntansi</w:t>
      </w:r>
      <w:r w:rsidRPr="00885CD5">
        <w:rPr>
          <w:noProof/>
          <w:sz w:val="24"/>
          <w:szCs w:val="24"/>
        </w:rPr>
        <w:t xml:space="preserve">, </w:t>
      </w:r>
      <w:r w:rsidRPr="00885CD5">
        <w:rPr>
          <w:i/>
          <w:iCs/>
          <w:noProof/>
          <w:sz w:val="24"/>
          <w:szCs w:val="24"/>
        </w:rPr>
        <w:t>9</w:t>
      </w:r>
      <w:r w:rsidRPr="00885CD5">
        <w:rPr>
          <w:noProof/>
          <w:sz w:val="24"/>
          <w:szCs w:val="24"/>
        </w:rPr>
        <w:t>(7).</w:t>
      </w:r>
    </w:p>
    <w:p w14:paraId="2CCED672"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Meilani, A. Y., Azizah, S. N., Pramono, H., &amp; Pratama, B. C. (2021). The Effect Of Ownership Structure On The Performance Of Intellectual Capital. </w:t>
      </w:r>
      <w:r w:rsidRPr="00885CD5">
        <w:rPr>
          <w:i/>
          <w:iCs/>
          <w:noProof/>
          <w:sz w:val="24"/>
          <w:szCs w:val="24"/>
        </w:rPr>
        <w:t>Jurnal Akademi Akuntansi</w:t>
      </w:r>
      <w:r w:rsidRPr="00885CD5">
        <w:rPr>
          <w:noProof/>
          <w:sz w:val="24"/>
          <w:szCs w:val="24"/>
        </w:rPr>
        <w:t xml:space="preserve">, </w:t>
      </w:r>
      <w:r w:rsidRPr="00885CD5">
        <w:rPr>
          <w:i/>
          <w:iCs/>
          <w:noProof/>
          <w:sz w:val="24"/>
          <w:szCs w:val="24"/>
        </w:rPr>
        <w:t>4</w:t>
      </w:r>
      <w:r w:rsidRPr="00885CD5">
        <w:rPr>
          <w:noProof/>
          <w:sz w:val="24"/>
          <w:szCs w:val="24"/>
        </w:rPr>
        <w:t>(2), 229–245. https://doi.org/10.22219/jaa.v4i2.17897</w:t>
      </w:r>
    </w:p>
    <w:p w14:paraId="1605A7DC"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Novianti, B., Hendra, R., &amp; Santoso, F. (2018). Pengaruh Kepemilikan Manajerial, Kepemilikan Institusional, Profitabilitas Dan Ukuran Perusahaan Terhadap Kebijakan Deviden. </w:t>
      </w:r>
      <w:r w:rsidRPr="00885CD5">
        <w:rPr>
          <w:i/>
          <w:iCs/>
          <w:noProof/>
          <w:sz w:val="24"/>
          <w:szCs w:val="24"/>
        </w:rPr>
        <w:t>Jurnal Akuntansi</w:t>
      </w:r>
      <w:r w:rsidRPr="00885CD5">
        <w:rPr>
          <w:noProof/>
          <w:sz w:val="24"/>
          <w:szCs w:val="24"/>
        </w:rPr>
        <w:t xml:space="preserve">, </w:t>
      </w:r>
      <w:r w:rsidRPr="00885CD5">
        <w:rPr>
          <w:i/>
          <w:iCs/>
          <w:noProof/>
          <w:sz w:val="24"/>
          <w:szCs w:val="24"/>
        </w:rPr>
        <w:t>18</w:t>
      </w:r>
      <w:r w:rsidRPr="00885CD5">
        <w:rPr>
          <w:noProof/>
          <w:sz w:val="24"/>
          <w:szCs w:val="24"/>
        </w:rPr>
        <w:t>(1), 71–84. http://ejournal.ukrida.ac.id/ojs/index.php/akun/article/view/2296</w:t>
      </w:r>
    </w:p>
    <w:p w14:paraId="72057198"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Novianto, A. (2017). Pengaruh Profitabilitas, Likuiditas, Ukuran Perusahaan, Kepemilikan Manajerial, Dan Kebijakan Hutang Terhadap Kebijakan Dividen Pada Perusahaan Sektor …. </w:t>
      </w:r>
      <w:r w:rsidRPr="00885CD5">
        <w:rPr>
          <w:i/>
          <w:iCs/>
          <w:noProof/>
          <w:sz w:val="24"/>
          <w:szCs w:val="24"/>
        </w:rPr>
        <w:t>Jurnal Ilmu Manajemen (JIM)</w:t>
      </w:r>
      <w:r w:rsidRPr="00885CD5">
        <w:rPr>
          <w:noProof/>
          <w:sz w:val="24"/>
          <w:szCs w:val="24"/>
        </w:rPr>
        <w:t xml:space="preserve">, </w:t>
      </w:r>
      <w:r w:rsidRPr="00885CD5">
        <w:rPr>
          <w:i/>
          <w:iCs/>
          <w:noProof/>
          <w:sz w:val="24"/>
          <w:szCs w:val="24"/>
        </w:rPr>
        <w:t>5</w:t>
      </w:r>
      <w:r w:rsidRPr="00885CD5">
        <w:rPr>
          <w:noProof/>
          <w:sz w:val="24"/>
          <w:szCs w:val="24"/>
        </w:rPr>
        <w:t>. https://jurnal.unesa.ac.id/index.php/jim/article/view/21737</w:t>
      </w:r>
    </w:p>
    <w:p w14:paraId="55E3C9C8"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Pamungkas, S. D., &amp; Rahayu, Y. (2019). Pengaruh Kebijakan Hutang, Profitabilitas, Kepemilikan Manajerial Terhadap Kebijakan Dividen Pada Perusahaan Manufaktur. </w:t>
      </w:r>
      <w:r w:rsidRPr="00885CD5">
        <w:rPr>
          <w:i/>
          <w:iCs/>
          <w:noProof/>
          <w:sz w:val="24"/>
          <w:szCs w:val="24"/>
        </w:rPr>
        <w:t>Jurnal Ilmu Dan Riset Akuntansi</w:t>
      </w:r>
      <w:r w:rsidRPr="00885CD5">
        <w:rPr>
          <w:noProof/>
          <w:sz w:val="24"/>
          <w:szCs w:val="24"/>
        </w:rPr>
        <w:t xml:space="preserve">, </w:t>
      </w:r>
      <w:r w:rsidRPr="00885CD5">
        <w:rPr>
          <w:i/>
          <w:iCs/>
          <w:noProof/>
          <w:sz w:val="24"/>
          <w:szCs w:val="24"/>
        </w:rPr>
        <w:t>8</w:t>
      </w:r>
      <w:r w:rsidRPr="00885CD5">
        <w:rPr>
          <w:noProof/>
          <w:sz w:val="24"/>
          <w:szCs w:val="24"/>
        </w:rPr>
        <w:t>(11), 1–16. http://jurnalmahasiswa.stiesia.ac.id/index.php/jira/article/view/2708</w:t>
      </w:r>
    </w:p>
    <w:p w14:paraId="1EC0D759"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Pangestuti, D. C. (2020). Regresi Data Panel: Profitabilitas, Pertumbuhan Aktiva, Dan Solvabilitas Terhadap Kebijakan Dividen. </w:t>
      </w:r>
      <w:r w:rsidRPr="00885CD5">
        <w:rPr>
          <w:i/>
          <w:iCs/>
          <w:noProof/>
          <w:sz w:val="24"/>
          <w:szCs w:val="24"/>
        </w:rPr>
        <w:t>Jurnal Riset Manajemen Dan Bisnis (JRMB) Fakultas Ekonomi UNIAT</w:t>
      </w:r>
      <w:r w:rsidRPr="00885CD5">
        <w:rPr>
          <w:noProof/>
          <w:sz w:val="24"/>
          <w:szCs w:val="24"/>
        </w:rPr>
        <w:t xml:space="preserve">, </w:t>
      </w:r>
      <w:r w:rsidRPr="00885CD5">
        <w:rPr>
          <w:i/>
          <w:iCs/>
          <w:noProof/>
          <w:sz w:val="24"/>
          <w:szCs w:val="24"/>
        </w:rPr>
        <w:t>5</w:t>
      </w:r>
      <w:r w:rsidRPr="00885CD5">
        <w:rPr>
          <w:noProof/>
          <w:sz w:val="24"/>
          <w:szCs w:val="24"/>
        </w:rPr>
        <w:t>(1), 119–134. http://jrmb.ejournal-feuniat.net/index.php/JRMB/article/view/337</w:t>
      </w:r>
    </w:p>
    <w:p w14:paraId="67123511"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Parmitasari, R. D. A., &amp; Hasrianto. (2017). Pengaruh Profitabilitas, Likuiditas, Leverage, dan Ukuran Perusahaan Terhadap Kebijakan Dividen Saham-saham yang Terdaftar pada Jakarta Islamic Index (JII) Periode Tahun 2011-2015 Rika Dwi Ayu Parmitasari </w:t>
      </w:r>
      <w:r w:rsidRPr="00885CD5">
        <w:rPr>
          <w:noProof/>
          <w:sz w:val="24"/>
          <w:szCs w:val="24"/>
        </w:rPr>
        <w:t xml:space="preserve"> &amp; Hasrianto. </w:t>
      </w:r>
      <w:r w:rsidRPr="00885CD5">
        <w:rPr>
          <w:i/>
          <w:iCs/>
          <w:noProof/>
          <w:sz w:val="24"/>
          <w:szCs w:val="24"/>
        </w:rPr>
        <w:t>Journal Uin-Alauddin</w:t>
      </w:r>
      <w:r w:rsidRPr="00885CD5">
        <w:rPr>
          <w:noProof/>
          <w:sz w:val="24"/>
          <w:szCs w:val="24"/>
        </w:rPr>
        <w:t>, 28–48.</w:t>
      </w:r>
    </w:p>
    <w:p w14:paraId="408AAECF" w14:textId="77777777" w:rsidR="005F5175" w:rsidRPr="00885CD5" w:rsidRDefault="005F5175" w:rsidP="005F5175">
      <w:pPr>
        <w:adjustRightInd w:val="0"/>
        <w:ind w:left="480" w:hanging="480"/>
        <w:jc w:val="both"/>
        <w:rPr>
          <w:noProof/>
          <w:sz w:val="24"/>
          <w:szCs w:val="24"/>
        </w:rPr>
      </w:pPr>
      <w:r w:rsidRPr="00885CD5">
        <w:rPr>
          <w:noProof/>
          <w:sz w:val="24"/>
          <w:szCs w:val="24"/>
        </w:rPr>
        <w:lastRenderedPageBreak/>
        <w:t xml:space="preserve">Pratama, B. C. (2016). The Impact of Intellectual Capital of Indonesian’s High-Tech Company on Firm’s Financial and Market Performance. </w:t>
      </w:r>
      <w:r w:rsidRPr="00885CD5">
        <w:rPr>
          <w:i/>
          <w:iCs/>
          <w:noProof/>
          <w:sz w:val="24"/>
          <w:szCs w:val="24"/>
        </w:rPr>
        <w:t>International Journal of Academic Research in Accounting</w:t>
      </w:r>
      <w:r w:rsidRPr="00885CD5">
        <w:rPr>
          <w:noProof/>
          <w:sz w:val="24"/>
          <w:szCs w:val="24"/>
        </w:rPr>
        <w:t xml:space="preserve">, </w:t>
      </w:r>
      <w:r w:rsidRPr="00885CD5">
        <w:rPr>
          <w:i/>
          <w:iCs/>
          <w:noProof/>
          <w:sz w:val="24"/>
          <w:szCs w:val="24"/>
        </w:rPr>
        <w:t>6</w:t>
      </w:r>
      <w:r w:rsidRPr="00885CD5">
        <w:rPr>
          <w:noProof/>
          <w:sz w:val="24"/>
          <w:szCs w:val="24"/>
        </w:rPr>
        <w:t>(4), 73–81. https://doi.org/10.6007/IJARAFMS/v6-i4/2296</w:t>
      </w:r>
    </w:p>
    <w:p w14:paraId="236108AD"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Puspitaningtyas, Z., Prakoso, A., &amp; Masruroh, A. (2019). Pengaruh Profitabilitas Terhadap Kebijakan Dividen Dengan Likuiditas Sebagai Pemoderasi. </w:t>
      </w:r>
      <w:r w:rsidRPr="00885CD5">
        <w:rPr>
          <w:i/>
          <w:iCs/>
          <w:noProof/>
          <w:sz w:val="24"/>
          <w:szCs w:val="24"/>
        </w:rPr>
        <w:t>Jurnal Administrasi Bisnis</w:t>
      </w:r>
      <w:r w:rsidRPr="00885CD5">
        <w:rPr>
          <w:noProof/>
          <w:sz w:val="24"/>
          <w:szCs w:val="24"/>
        </w:rPr>
        <w:t xml:space="preserve">, </w:t>
      </w:r>
      <w:r w:rsidRPr="00885CD5">
        <w:rPr>
          <w:i/>
          <w:iCs/>
          <w:noProof/>
          <w:sz w:val="24"/>
          <w:szCs w:val="24"/>
        </w:rPr>
        <w:t>9</w:t>
      </w:r>
      <w:r w:rsidRPr="00885CD5">
        <w:rPr>
          <w:noProof/>
          <w:sz w:val="24"/>
          <w:szCs w:val="24"/>
        </w:rPr>
        <w:t>(3), 1. https://doi.org/10.35797/jab.9.3.2019.25120.1-17</w:t>
      </w:r>
    </w:p>
    <w:p w14:paraId="5C96A7A4"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Putri, L. I. A. T., &amp; Pratama, B. C. (2020). Pengaruh Ukuran Perusahaan, Umur Perusahaan, Konsentrasi Kepemilikan, Komisaris Independen, dan leverage terhadap Tingkap Pengungkapan Modal Intelektual. </w:t>
      </w:r>
      <w:r w:rsidRPr="00885CD5">
        <w:rPr>
          <w:i/>
          <w:iCs/>
          <w:noProof/>
          <w:sz w:val="24"/>
          <w:szCs w:val="24"/>
        </w:rPr>
        <w:t>RATIO: Reviu Akuntansi Kontemporer Indonesia</w:t>
      </w:r>
      <w:r w:rsidRPr="00885CD5">
        <w:rPr>
          <w:noProof/>
          <w:sz w:val="24"/>
          <w:szCs w:val="24"/>
        </w:rPr>
        <w:t xml:space="preserve">, </w:t>
      </w:r>
      <w:r w:rsidRPr="00885CD5">
        <w:rPr>
          <w:i/>
          <w:iCs/>
          <w:noProof/>
          <w:sz w:val="24"/>
          <w:szCs w:val="24"/>
        </w:rPr>
        <w:t>1</w:t>
      </w:r>
      <w:r w:rsidRPr="00885CD5">
        <w:rPr>
          <w:noProof/>
          <w:sz w:val="24"/>
          <w:szCs w:val="24"/>
        </w:rPr>
        <w:t>(1), 1–11.</w:t>
      </w:r>
    </w:p>
    <w:p w14:paraId="1AAA33C5"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Putri, V. R., &amp; Susetyo, A. (2020). Pengaruh Kesempatan Investasi, Leverage, dan Likuiditas Terhadap Kebijakan Dividen pada Perusahaan yang Terindex di JII Periode 2015-2018. </w:t>
      </w:r>
      <w:r w:rsidRPr="00885CD5">
        <w:rPr>
          <w:i/>
          <w:iCs/>
          <w:noProof/>
          <w:sz w:val="24"/>
          <w:szCs w:val="24"/>
        </w:rPr>
        <w:t>Jurnal Ilmiah Mahasiswa Manajemen, Bisnis Dan Akuntansi (JIMMBA)</w:t>
      </w:r>
      <w:r w:rsidRPr="00885CD5">
        <w:rPr>
          <w:noProof/>
          <w:sz w:val="24"/>
          <w:szCs w:val="24"/>
        </w:rPr>
        <w:t xml:space="preserve">, </w:t>
      </w:r>
      <w:r w:rsidRPr="00885CD5">
        <w:rPr>
          <w:i/>
          <w:iCs/>
          <w:noProof/>
          <w:sz w:val="24"/>
          <w:szCs w:val="24"/>
        </w:rPr>
        <w:t>2</w:t>
      </w:r>
      <w:r w:rsidRPr="00885CD5">
        <w:rPr>
          <w:noProof/>
          <w:sz w:val="24"/>
          <w:szCs w:val="24"/>
        </w:rPr>
        <w:t>(4), 563–577. https://doi.org/10.32639/jimmba.v2i4.604</w:t>
      </w:r>
    </w:p>
    <w:p w14:paraId="0E90C358" w14:textId="2DCA0042" w:rsidR="005F5175" w:rsidRDefault="005F5175" w:rsidP="005F5175">
      <w:pPr>
        <w:adjustRightInd w:val="0"/>
        <w:ind w:left="480" w:hanging="480"/>
        <w:jc w:val="both"/>
        <w:rPr>
          <w:noProof/>
          <w:sz w:val="24"/>
          <w:szCs w:val="24"/>
        </w:rPr>
      </w:pPr>
      <w:r w:rsidRPr="00885CD5">
        <w:rPr>
          <w:noProof/>
          <w:sz w:val="24"/>
          <w:szCs w:val="24"/>
        </w:rPr>
        <w:t xml:space="preserve">Qomariyah, A., &amp; Sukoco, Y. D. (2021). Pengaruh Profitabilitas Dan Likuiditas Terhadap Kebijakan Dividen Pada Perusahaan Manufaktur Yang Terdaftar Di Bursa Efek Indonesia Tahun 2018-2020. </w:t>
      </w:r>
      <w:r w:rsidRPr="00885CD5">
        <w:rPr>
          <w:i/>
          <w:iCs/>
          <w:noProof/>
          <w:sz w:val="24"/>
          <w:szCs w:val="24"/>
        </w:rPr>
        <w:t>Jurnal Riset Manajemen Dan Akuntansi (JRMA)</w:t>
      </w:r>
      <w:r w:rsidRPr="00885CD5">
        <w:rPr>
          <w:noProof/>
          <w:sz w:val="24"/>
          <w:szCs w:val="24"/>
        </w:rPr>
        <w:t xml:space="preserve">, </w:t>
      </w:r>
      <w:r w:rsidRPr="00885CD5">
        <w:rPr>
          <w:i/>
          <w:iCs/>
          <w:noProof/>
          <w:sz w:val="24"/>
          <w:szCs w:val="24"/>
        </w:rPr>
        <w:t>09</w:t>
      </w:r>
      <w:r w:rsidRPr="00885CD5">
        <w:rPr>
          <w:noProof/>
          <w:sz w:val="24"/>
          <w:szCs w:val="24"/>
        </w:rPr>
        <w:t>(03), 406–415. https://doi.org/10.53682/jaim.vi.1708</w:t>
      </w:r>
    </w:p>
    <w:p w14:paraId="3978A923" w14:textId="364B39AA" w:rsidR="00524BF6" w:rsidRPr="00885CD5" w:rsidRDefault="00524BF6" w:rsidP="005F5175">
      <w:pPr>
        <w:adjustRightInd w:val="0"/>
        <w:ind w:left="480" w:hanging="480"/>
        <w:jc w:val="both"/>
        <w:rPr>
          <w:noProof/>
          <w:sz w:val="24"/>
          <w:szCs w:val="24"/>
        </w:rPr>
      </w:pPr>
      <w:r w:rsidRPr="00524BF6">
        <w:rPr>
          <w:noProof/>
          <w:sz w:val="24"/>
          <w:szCs w:val="24"/>
        </w:rPr>
        <w:t>Sasongko, Y. J., Azizah, S. N., &amp; Hapsari, I. (2021). The Effect Of Earning Volatility, Income Smoothing And Earning Persistence On Earnings Quality. Review of Applied Accounting Research, 1(1), 1-16.</w:t>
      </w:r>
    </w:p>
    <w:p w14:paraId="62A2B1FA"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Septika, E., Mudjiyanti, R., Hariyanto, E., &amp; Wibowo, H. (2021). PENGARUH PROFITABILITAS, KEBIJAKAN HUTANG, LIKUIDITAS, DAN KEPEMILIKAN INSTITUSIONAL TERHADAP KEBIJAKAN DIVIDEN Eri Septika 1 , Rina Mudjiyanti 2* , Eko Hariyanto 3 , Hardiyanto Wibowo 4. </w:t>
      </w:r>
      <w:r w:rsidRPr="00885CD5">
        <w:rPr>
          <w:i/>
          <w:iCs/>
          <w:noProof/>
          <w:sz w:val="24"/>
          <w:szCs w:val="24"/>
        </w:rPr>
        <w:t>Review of Applied Accounting Research</w:t>
      </w:r>
      <w:r w:rsidRPr="00885CD5">
        <w:rPr>
          <w:noProof/>
          <w:sz w:val="24"/>
          <w:szCs w:val="24"/>
        </w:rPr>
        <w:t xml:space="preserve">, </w:t>
      </w:r>
      <w:r w:rsidRPr="00885CD5">
        <w:rPr>
          <w:i/>
          <w:iCs/>
          <w:noProof/>
          <w:sz w:val="24"/>
          <w:szCs w:val="24"/>
        </w:rPr>
        <w:t>1</w:t>
      </w:r>
      <w:r w:rsidRPr="00885CD5">
        <w:rPr>
          <w:noProof/>
          <w:sz w:val="24"/>
          <w:szCs w:val="24"/>
        </w:rPr>
        <w:t>(2), 1–10.</w:t>
      </w:r>
    </w:p>
    <w:p w14:paraId="1692A7B4"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Setyaningsih, I. P., &amp; Sucipto, A. (2021). Moderasi Ukuran Perusahaan pada Profitabilias, Leverage dan Rasio Aktivitas terhadap Kebijakan Dividen. </w:t>
      </w:r>
      <w:r w:rsidRPr="00885CD5">
        <w:rPr>
          <w:i/>
          <w:iCs/>
          <w:noProof/>
          <w:sz w:val="24"/>
          <w:szCs w:val="24"/>
        </w:rPr>
        <w:t>Iqtishoduna</w:t>
      </w:r>
      <w:r w:rsidRPr="00885CD5">
        <w:rPr>
          <w:noProof/>
          <w:sz w:val="24"/>
          <w:szCs w:val="24"/>
        </w:rPr>
        <w:t xml:space="preserve">, </w:t>
      </w:r>
      <w:r w:rsidRPr="00885CD5">
        <w:rPr>
          <w:i/>
          <w:iCs/>
          <w:noProof/>
          <w:sz w:val="24"/>
          <w:szCs w:val="24"/>
        </w:rPr>
        <w:t>17</w:t>
      </w:r>
      <w:r w:rsidRPr="00885CD5">
        <w:rPr>
          <w:noProof/>
          <w:sz w:val="24"/>
          <w:szCs w:val="24"/>
        </w:rPr>
        <w:t>(2), 141–162. https://doi.org/10.18860/iq.v17i2.9509</w:t>
      </w:r>
    </w:p>
    <w:p w14:paraId="13385CBD"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Suambara, P. A., Suryandari, N. N. A., &amp; Putra, G. B. B. (2019). Pengaruh Investment Opportunity Set, Kinerja Keuangan Dan Pertumbuhan Terhadap Kebijakan Dividen Pada Perusahaan Manufaktur Yang Terdaftar Di Bursa Efek Indonesia Tahun 2016-2018. </w:t>
      </w:r>
      <w:r w:rsidRPr="00885CD5">
        <w:rPr>
          <w:i/>
          <w:iCs/>
          <w:noProof/>
          <w:sz w:val="24"/>
          <w:szCs w:val="24"/>
        </w:rPr>
        <w:t>Seminar Nasional Inovasi Dalam Penelitian Sains, Teknologi Dan Humaniora-InoBali</w:t>
      </w:r>
      <w:r w:rsidRPr="00885CD5">
        <w:rPr>
          <w:noProof/>
          <w:sz w:val="24"/>
          <w:szCs w:val="24"/>
        </w:rPr>
        <w:t>, 651–661.</w:t>
      </w:r>
    </w:p>
    <w:p w14:paraId="744A88E9"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Sudiartana, I. G. P., &amp; Yudantara, I. G. A. P. (2020). Pengaruh Ukuran Perusahaan, Likuiditas, Profitabilitas, dan Leverage terhadap Kebijakan Dividen. </w:t>
      </w:r>
      <w:r w:rsidRPr="00885CD5">
        <w:rPr>
          <w:i/>
          <w:iCs/>
          <w:noProof/>
          <w:sz w:val="24"/>
          <w:szCs w:val="24"/>
        </w:rPr>
        <w:t>JIMAT (Jurnal Ilmiah Mahasiswa Akuntansi) Universitas Pendidikan Ganesha</w:t>
      </w:r>
      <w:r w:rsidRPr="00885CD5">
        <w:rPr>
          <w:noProof/>
          <w:sz w:val="24"/>
          <w:szCs w:val="24"/>
        </w:rPr>
        <w:t xml:space="preserve">, </w:t>
      </w:r>
      <w:r w:rsidRPr="00885CD5">
        <w:rPr>
          <w:i/>
          <w:iCs/>
          <w:noProof/>
          <w:sz w:val="24"/>
          <w:szCs w:val="24"/>
        </w:rPr>
        <w:t>11</w:t>
      </w:r>
      <w:r w:rsidRPr="00885CD5">
        <w:rPr>
          <w:noProof/>
          <w:sz w:val="24"/>
          <w:szCs w:val="24"/>
        </w:rPr>
        <w:t>(2), 761.</w:t>
      </w:r>
    </w:p>
    <w:p w14:paraId="6A735312" w14:textId="77777777" w:rsidR="005F5175" w:rsidRPr="00885CD5" w:rsidRDefault="005F5175" w:rsidP="005F5175">
      <w:pPr>
        <w:adjustRightInd w:val="0"/>
        <w:ind w:left="480" w:hanging="480"/>
        <w:jc w:val="both"/>
        <w:rPr>
          <w:noProof/>
          <w:sz w:val="24"/>
          <w:szCs w:val="24"/>
        </w:rPr>
      </w:pPr>
      <w:r w:rsidRPr="00885CD5">
        <w:rPr>
          <w:noProof/>
          <w:sz w:val="24"/>
          <w:szCs w:val="24"/>
        </w:rPr>
        <w:t xml:space="preserve">Suganda, T. R. (2018). </w:t>
      </w:r>
      <w:r w:rsidRPr="00885CD5">
        <w:rPr>
          <w:i/>
          <w:iCs/>
          <w:noProof/>
          <w:sz w:val="24"/>
          <w:szCs w:val="24"/>
        </w:rPr>
        <w:t>Event Study Teori dan Pembahasan Reaksi Pasar Modal Indonesia</w:t>
      </w:r>
      <w:r w:rsidRPr="00885CD5">
        <w:rPr>
          <w:noProof/>
          <w:sz w:val="24"/>
          <w:szCs w:val="24"/>
        </w:rPr>
        <w:t xml:space="preserve"> (1st ed.). CV. Seribu Bintang. https://books.google.co.id/books?id=V3ANEAAAQBAJ&amp;lpg=PA1&amp;ots=hYELH7JVHc&amp;dq=Suganda%2C T. R. (2018) “Event Study Teori dan Pembahasan Reaksi Pasar Modal Indonesia” Malang %3A CV. Seribu Bintang&amp;lr&amp;pg=PP1#v=onepage&amp;q&amp;f=false</w:t>
      </w:r>
    </w:p>
    <w:p w14:paraId="6546C044" w14:textId="1BB12767" w:rsidR="005F5175" w:rsidRDefault="005F5175" w:rsidP="005F5175">
      <w:pPr>
        <w:adjustRightInd w:val="0"/>
        <w:ind w:left="480" w:hanging="480"/>
        <w:jc w:val="both"/>
        <w:rPr>
          <w:noProof/>
          <w:sz w:val="24"/>
          <w:szCs w:val="24"/>
        </w:rPr>
      </w:pPr>
      <w:r w:rsidRPr="00885CD5">
        <w:rPr>
          <w:noProof/>
          <w:sz w:val="24"/>
          <w:szCs w:val="24"/>
        </w:rPr>
        <w:t xml:space="preserve">Tan, M., &amp; Hadi, S. (2020). Pengaruh Cr, Der, Tato, Dan Ukuran Perusahaan Terhadap Profitabilitas Pada Perusahaan Farmasi Yang Terdaftar Di Bei. </w:t>
      </w:r>
      <w:r w:rsidRPr="00885CD5">
        <w:rPr>
          <w:i/>
          <w:iCs/>
          <w:noProof/>
          <w:sz w:val="24"/>
          <w:szCs w:val="24"/>
        </w:rPr>
        <w:t>Kurs : Jurnal Akuntansi, Kewirausahaan Dan Bisnis</w:t>
      </w:r>
      <w:r w:rsidRPr="00885CD5">
        <w:rPr>
          <w:noProof/>
          <w:sz w:val="24"/>
          <w:szCs w:val="24"/>
        </w:rPr>
        <w:t xml:space="preserve">, </w:t>
      </w:r>
      <w:r w:rsidRPr="00885CD5">
        <w:rPr>
          <w:i/>
          <w:iCs/>
          <w:noProof/>
          <w:sz w:val="24"/>
          <w:szCs w:val="24"/>
        </w:rPr>
        <w:t>5</w:t>
      </w:r>
      <w:r w:rsidRPr="00885CD5">
        <w:rPr>
          <w:noProof/>
          <w:sz w:val="24"/>
          <w:szCs w:val="24"/>
        </w:rPr>
        <w:t>(1), 58–69. http://www.ejournal.pelitaindonesia.ac.id/ojs32/index.php/KURS/index</w:t>
      </w:r>
    </w:p>
    <w:p w14:paraId="76415C6D" w14:textId="35B64746" w:rsidR="008502FB" w:rsidRDefault="008502FB" w:rsidP="005F5175">
      <w:pPr>
        <w:adjustRightInd w:val="0"/>
        <w:ind w:left="480" w:hanging="480"/>
        <w:jc w:val="both"/>
        <w:rPr>
          <w:noProof/>
          <w:sz w:val="24"/>
          <w:szCs w:val="24"/>
        </w:rPr>
      </w:pPr>
      <w:r w:rsidRPr="008502FB">
        <w:rPr>
          <w:noProof/>
          <w:sz w:val="24"/>
          <w:szCs w:val="24"/>
        </w:rPr>
        <w:t xml:space="preserve">Ulfa, L. M., Azizah, S. N., &amp; Hapsari, I. (2021). Company Size, Managerial, Intitutional Ownership and Environmental Performance on Corporate Social Responsibility </w:t>
      </w:r>
      <w:r w:rsidRPr="008502FB">
        <w:rPr>
          <w:noProof/>
          <w:sz w:val="24"/>
          <w:szCs w:val="24"/>
        </w:rPr>
        <w:lastRenderedPageBreak/>
        <w:t>Disclosures. Review of Applied Accounting Research, 1(2), 9-16.</w:t>
      </w:r>
    </w:p>
    <w:p w14:paraId="664ACBAA" w14:textId="77777777" w:rsidR="005F5175" w:rsidRDefault="005F5175" w:rsidP="005F5175">
      <w:pPr>
        <w:adjustRightInd w:val="0"/>
        <w:ind w:left="480" w:hanging="480"/>
        <w:jc w:val="both"/>
        <w:rPr>
          <w:noProof/>
          <w:sz w:val="24"/>
          <w:szCs w:val="24"/>
        </w:rPr>
      </w:pPr>
      <w:r w:rsidRPr="00EF2A25">
        <w:rPr>
          <w:noProof/>
          <w:sz w:val="24"/>
          <w:szCs w:val="24"/>
        </w:rPr>
        <w:t>Ulum, I. (2009). Intellectual Capital. Yogyakarta: Graha Ilmu.</w:t>
      </w:r>
    </w:p>
    <w:p w14:paraId="5E74263A" w14:textId="77777777" w:rsidR="005F5175" w:rsidRPr="00885CD5" w:rsidRDefault="005F5175" w:rsidP="005F5175">
      <w:pPr>
        <w:spacing w:line="259" w:lineRule="auto"/>
        <w:jc w:val="both"/>
        <w:rPr>
          <w:b/>
          <w:bCs/>
          <w:sz w:val="24"/>
          <w:lang w:val="en-US"/>
        </w:rPr>
      </w:pPr>
      <w:r>
        <w:rPr>
          <w:b/>
          <w:bCs/>
          <w:sz w:val="24"/>
          <w:lang w:val="en-US"/>
        </w:rPr>
        <w:fldChar w:fldCharType="end"/>
      </w:r>
    </w:p>
    <w:p w14:paraId="3EDF10E9" w14:textId="77777777" w:rsidR="001B5598" w:rsidRDefault="001B5598" w:rsidP="005F5175">
      <w:pPr>
        <w:contextualSpacing/>
        <w:jc w:val="both"/>
      </w:pPr>
    </w:p>
    <w:sectPr w:rsidR="001B5598" w:rsidSect="005F5175">
      <w:pgSz w:w="1191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AB5A8" w14:textId="77777777" w:rsidR="00546C33" w:rsidRDefault="00546C33" w:rsidP="001B5598">
      <w:r>
        <w:separator/>
      </w:r>
    </w:p>
  </w:endnote>
  <w:endnote w:type="continuationSeparator" w:id="0">
    <w:p w14:paraId="5E296041" w14:textId="77777777" w:rsidR="00546C33" w:rsidRDefault="00546C33" w:rsidP="001B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sto MT">
    <w:panose1 w:val="02040603050505030304"/>
    <w:charset w:val="4D"/>
    <w:family w:val="roman"/>
    <w:pitch w:val="variable"/>
    <w:sig w:usb0="00000003" w:usb1="00000000" w:usb2="00000000" w:usb3="00000000" w:csb0="00000001" w:csb1="00000000"/>
  </w:font>
  <w:font w:name="Minion Pro">
    <w:altName w:val="Cambria"/>
    <w:panose1 w:val="020B0604020202020204"/>
    <w:charset w:val="00"/>
    <w:family w:val="roman"/>
    <w:notTrueType/>
    <w:pitch w:val="variable"/>
    <w:sig w:usb0="60000287" w:usb1="00000001" w:usb2="00000000" w:usb3="00000000" w:csb0="0000019F" w:csb1="00000000"/>
  </w:font>
  <w:font w:name="Arno Pro">
    <w:altName w:val="Cambria"/>
    <w:panose1 w:val="020B0604020202020204"/>
    <w:charset w:val="00"/>
    <w:family w:val="roman"/>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318866"/>
      <w:docPartObj>
        <w:docPartGallery w:val="Page Numbers (Bottom of Page)"/>
        <w:docPartUnique/>
      </w:docPartObj>
    </w:sdtPr>
    <w:sdtEndPr>
      <w:rPr>
        <w:noProof/>
        <w:sz w:val="24"/>
        <w:szCs w:val="24"/>
      </w:rPr>
    </w:sdtEndPr>
    <w:sdtContent>
      <w:p w14:paraId="32DA029C" w14:textId="77777777" w:rsidR="001B5598" w:rsidRPr="001B5598" w:rsidRDefault="001B5598">
        <w:pPr>
          <w:pStyle w:val="Footer"/>
          <w:jc w:val="center"/>
          <w:rPr>
            <w:sz w:val="24"/>
            <w:szCs w:val="24"/>
          </w:rPr>
        </w:pPr>
        <w:r w:rsidRPr="001B5598">
          <w:rPr>
            <w:sz w:val="24"/>
            <w:szCs w:val="24"/>
          </w:rPr>
          <w:fldChar w:fldCharType="begin"/>
        </w:r>
        <w:r w:rsidRPr="001B5598">
          <w:rPr>
            <w:sz w:val="24"/>
            <w:szCs w:val="24"/>
          </w:rPr>
          <w:instrText xml:space="preserve"> PAGE   \* MERGEFORMAT </w:instrText>
        </w:r>
        <w:r w:rsidRPr="001B5598">
          <w:rPr>
            <w:sz w:val="24"/>
            <w:szCs w:val="24"/>
          </w:rPr>
          <w:fldChar w:fldCharType="separate"/>
        </w:r>
        <w:r w:rsidR="00DA379E">
          <w:rPr>
            <w:noProof/>
            <w:sz w:val="24"/>
            <w:szCs w:val="24"/>
          </w:rPr>
          <w:t>15</w:t>
        </w:r>
        <w:r w:rsidRPr="001B5598">
          <w:rPr>
            <w:noProof/>
            <w:sz w:val="24"/>
            <w:szCs w:val="24"/>
          </w:rPr>
          <w:fldChar w:fldCharType="end"/>
        </w:r>
      </w:p>
    </w:sdtContent>
  </w:sdt>
  <w:p w14:paraId="70A2E18D" w14:textId="77777777" w:rsidR="001B5598" w:rsidRDefault="001B5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9B19A" w14:textId="77777777" w:rsidR="00546C33" w:rsidRDefault="00546C33" w:rsidP="001B5598">
      <w:r>
        <w:separator/>
      </w:r>
    </w:p>
  </w:footnote>
  <w:footnote w:type="continuationSeparator" w:id="0">
    <w:p w14:paraId="62454F5D" w14:textId="77777777" w:rsidR="00546C33" w:rsidRDefault="00546C33" w:rsidP="001B5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71DC8"/>
    <w:multiLevelType w:val="hybridMultilevel"/>
    <w:tmpl w:val="03AAF5A0"/>
    <w:lvl w:ilvl="0" w:tplc="928EC690">
      <w:start w:val="1"/>
      <w:numFmt w:val="upp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1CEC3CA0"/>
    <w:multiLevelType w:val="hybridMultilevel"/>
    <w:tmpl w:val="1BB66438"/>
    <w:lvl w:ilvl="0" w:tplc="388CDCF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323721C"/>
    <w:multiLevelType w:val="hybridMultilevel"/>
    <w:tmpl w:val="E988B0C8"/>
    <w:lvl w:ilvl="0" w:tplc="07FEF73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6B650FF"/>
    <w:multiLevelType w:val="multilevel"/>
    <w:tmpl w:val="08702AE8"/>
    <w:lvl w:ilvl="0">
      <w:numFmt w:val="decimalZero"/>
      <w:lvlText w:val="%1-0"/>
      <w:lvlJc w:val="left"/>
      <w:pPr>
        <w:ind w:left="780" w:hanging="780"/>
      </w:pPr>
    </w:lvl>
    <w:lvl w:ilvl="1">
      <w:start w:val="1"/>
      <w:numFmt w:val="decimalZero"/>
      <w:lvlText w:val="%1-%2"/>
      <w:lvlJc w:val="left"/>
      <w:pPr>
        <w:ind w:left="1500" w:hanging="780"/>
      </w:pPr>
    </w:lvl>
    <w:lvl w:ilvl="2">
      <w:start w:val="1"/>
      <w:numFmt w:val="decimal"/>
      <w:lvlText w:val="%1-%2.%3"/>
      <w:lvlJc w:val="left"/>
      <w:pPr>
        <w:ind w:left="2220" w:hanging="780"/>
      </w:pPr>
    </w:lvl>
    <w:lvl w:ilvl="3">
      <w:start w:val="1"/>
      <w:numFmt w:val="decimal"/>
      <w:lvlText w:val="%1-%2.%3.%4"/>
      <w:lvlJc w:val="left"/>
      <w:pPr>
        <w:ind w:left="2940" w:hanging="78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62D840B0"/>
    <w:multiLevelType w:val="hybridMultilevel"/>
    <w:tmpl w:val="6B563CE8"/>
    <w:lvl w:ilvl="0" w:tplc="07FEF73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7817DBB"/>
    <w:multiLevelType w:val="hybridMultilevel"/>
    <w:tmpl w:val="E1D431B0"/>
    <w:lvl w:ilvl="0" w:tplc="5888C3D6">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35091195">
    <w:abstractNumId w:val="4"/>
  </w:num>
  <w:num w:numId="2" w16cid:durableId="15043939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3455">
    <w:abstractNumId w:val="1"/>
  </w:num>
  <w:num w:numId="4" w16cid:durableId="1899394275">
    <w:abstractNumId w:val="0"/>
  </w:num>
  <w:num w:numId="5" w16cid:durableId="48845554">
    <w:abstractNumId w:val="2"/>
  </w:num>
  <w:num w:numId="6" w16cid:durableId="477039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65"/>
    <w:rsid w:val="00197F64"/>
    <w:rsid w:val="001B5598"/>
    <w:rsid w:val="002575E5"/>
    <w:rsid w:val="002D194D"/>
    <w:rsid w:val="00314627"/>
    <w:rsid w:val="003B225D"/>
    <w:rsid w:val="003D41DD"/>
    <w:rsid w:val="004F2751"/>
    <w:rsid w:val="004F61D5"/>
    <w:rsid w:val="00524BF6"/>
    <w:rsid w:val="00546C33"/>
    <w:rsid w:val="005A4398"/>
    <w:rsid w:val="005F5175"/>
    <w:rsid w:val="006A4AE9"/>
    <w:rsid w:val="006D2AF2"/>
    <w:rsid w:val="006E155C"/>
    <w:rsid w:val="00703B66"/>
    <w:rsid w:val="0078203F"/>
    <w:rsid w:val="00785DA4"/>
    <w:rsid w:val="007D3D0A"/>
    <w:rsid w:val="007D5EC4"/>
    <w:rsid w:val="00815180"/>
    <w:rsid w:val="00826A1E"/>
    <w:rsid w:val="00837355"/>
    <w:rsid w:val="00847F8B"/>
    <w:rsid w:val="008502FB"/>
    <w:rsid w:val="009B7B92"/>
    <w:rsid w:val="00A47ADD"/>
    <w:rsid w:val="00AA4F06"/>
    <w:rsid w:val="00C40A65"/>
    <w:rsid w:val="00C76E0D"/>
    <w:rsid w:val="00D351AA"/>
    <w:rsid w:val="00D82EA7"/>
    <w:rsid w:val="00DA379E"/>
    <w:rsid w:val="00E03E2A"/>
    <w:rsid w:val="00E45AAD"/>
    <w:rsid w:val="00E8608F"/>
    <w:rsid w:val="00EA022A"/>
    <w:rsid w:val="00F047C4"/>
    <w:rsid w:val="00F738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8A2E"/>
  <w15:docId w15:val="{A7916A1C-1410-42C2-90A9-73D9F3CF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40A6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40A65"/>
    <w:pPr>
      <w:ind w:left="8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0A6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40A65"/>
    <w:rPr>
      <w:sz w:val="24"/>
      <w:szCs w:val="24"/>
    </w:rPr>
  </w:style>
  <w:style w:type="character" w:customStyle="1" w:styleId="BodyTextChar">
    <w:name w:val="Body Text Char"/>
    <w:basedOn w:val="DefaultParagraphFont"/>
    <w:link w:val="BodyText"/>
    <w:uiPriority w:val="1"/>
    <w:rsid w:val="00C40A6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40A65"/>
  </w:style>
  <w:style w:type="paragraph" w:styleId="NormalWeb">
    <w:name w:val="Normal (Web)"/>
    <w:basedOn w:val="Normal"/>
    <w:uiPriority w:val="99"/>
    <w:unhideWhenUsed/>
    <w:rsid w:val="00C40A65"/>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unhideWhenUsed/>
    <w:rsid w:val="00C40A65"/>
    <w:rPr>
      <w:color w:val="0000FF"/>
      <w:u w:val="single"/>
    </w:rPr>
  </w:style>
  <w:style w:type="paragraph" w:styleId="ListParagraph">
    <w:name w:val="List Paragraph"/>
    <w:basedOn w:val="Normal"/>
    <w:link w:val="ListParagraphChar"/>
    <w:uiPriority w:val="99"/>
    <w:qFormat/>
    <w:rsid w:val="00F047C4"/>
    <w:pPr>
      <w:widowControl/>
      <w:autoSpaceDE/>
      <w:autoSpaceDN/>
      <w:spacing w:after="160" w:line="259" w:lineRule="auto"/>
      <w:ind w:left="720"/>
      <w:contextualSpacing/>
      <w:jc w:val="both"/>
    </w:pPr>
    <w:rPr>
      <w:rFonts w:asciiTheme="minorHAnsi" w:eastAsiaTheme="minorHAnsi" w:hAnsiTheme="minorHAnsi" w:cstheme="minorBidi"/>
      <w:lang w:val="en-US"/>
    </w:rPr>
  </w:style>
  <w:style w:type="character" w:customStyle="1" w:styleId="ListParagraphChar">
    <w:name w:val="List Paragraph Char"/>
    <w:basedOn w:val="DefaultParagraphFont"/>
    <w:link w:val="ListParagraph"/>
    <w:uiPriority w:val="34"/>
    <w:locked/>
    <w:rsid w:val="00F047C4"/>
    <w:rPr>
      <w:lang w:val="en-US"/>
    </w:rPr>
  </w:style>
  <w:style w:type="paragraph" w:customStyle="1" w:styleId="BasicParagraph">
    <w:name w:val="[Basic Paragraph]"/>
    <w:basedOn w:val="Normal"/>
    <w:uiPriority w:val="99"/>
    <w:rsid w:val="00F047C4"/>
    <w:pPr>
      <w:widowControl/>
      <w:adjustRightInd w:val="0"/>
      <w:spacing w:line="288" w:lineRule="auto"/>
    </w:pPr>
    <w:rPr>
      <w:rFonts w:ascii="Calisto MT" w:eastAsia="Calibri" w:hAnsi="Calisto MT" w:cs="Calisto MT"/>
      <w:color w:val="000000"/>
      <w:sz w:val="20"/>
      <w:szCs w:val="20"/>
      <w:lang w:val="en-GB"/>
    </w:rPr>
  </w:style>
  <w:style w:type="paragraph" w:styleId="Header">
    <w:name w:val="header"/>
    <w:basedOn w:val="Normal"/>
    <w:link w:val="HeaderChar"/>
    <w:uiPriority w:val="99"/>
    <w:unhideWhenUsed/>
    <w:rsid w:val="001B5598"/>
    <w:pPr>
      <w:tabs>
        <w:tab w:val="center" w:pos="4513"/>
        <w:tab w:val="right" w:pos="9026"/>
      </w:tabs>
    </w:pPr>
  </w:style>
  <w:style w:type="character" w:customStyle="1" w:styleId="HeaderChar">
    <w:name w:val="Header Char"/>
    <w:basedOn w:val="DefaultParagraphFont"/>
    <w:link w:val="Header"/>
    <w:uiPriority w:val="99"/>
    <w:rsid w:val="001B5598"/>
    <w:rPr>
      <w:rFonts w:ascii="Times New Roman" w:eastAsia="Times New Roman" w:hAnsi="Times New Roman" w:cs="Times New Roman"/>
    </w:rPr>
  </w:style>
  <w:style w:type="paragraph" w:styleId="Footer">
    <w:name w:val="footer"/>
    <w:basedOn w:val="Normal"/>
    <w:link w:val="FooterChar"/>
    <w:uiPriority w:val="99"/>
    <w:unhideWhenUsed/>
    <w:rsid w:val="001B5598"/>
    <w:pPr>
      <w:tabs>
        <w:tab w:val="center" w:pos="4513"/>
        <w:tab w:val="right" w:pos="9026"/>
      </w:tabs>
    </w:pPr>
  </w:style>
  <w:style w:type="character" w:customStyle="1" w:styleId="FooterChar">
    <w:name w:val="Footer Char"/>
    <w:basedOn w:val="DefaultParagraphFont"/>
    <w:link w:val="Footer"/>
    <w:uiPriority w:val="99"/>
    <w:rsid w:val="001B559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15132</Words>
  <Characters>86254</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Kholida</cp:lastModifiedBy>
  <cp:revision>2</cp:revision>
  <dcterms:created xsi:type="dcterms:W3CDTF">2024-05-14T10:50:00Z</dcterms:created>
  <dcterms:modified xsi:type="dcterms:W3CDTF">2024-05-14T10:50:00Z</dcterms:modified>
</cp:coreProperties>
</file>